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58" w:rsidRDefault="00DE4458" w:rsidP="009D7EBA">
      <w:pPr>
        <w:spacing w:line="276" w:lineRule="auto"/>
        <w:jc w:val="both"/>
        <w:rPr>
          <w:rFonts w:asciiTheme="minorHAnsi" w:eastAsia="Times New Roman" w:hAnsiTheme="minorHAnsi" w:cs="Mangal"/>
          <w:bCs/>
          <w:iCs/>
          <w:sz w:val="22"/>
          <w:szCs w:val="22"/>
        </w:rPr>
      </w:pP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Elke </w:t>
      </w:r>
      <w:proofErr w:type="spellStart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Rajal</w:t>
      </w:r>
      <w:proofErr w:type="spellEnd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(Institut für Politik</w:t>
      </w:r>
      <w:r w:rsidR="003F0B91">
        <w:rPr>
          <w:rFonts w:asciiTheme="minorHAnsi" w:eastAsia="Times New Roman" w:hAnsiTheme="minorHAnsi" w:cs="Mangal"/>
          <w:bCs/>
          <w:iCs/>
          <w:sz w:val="22"/>
          <w:szCs w:val="22"/>
        </w:rPr>
        <w:t>wissenschaft, Universität Wien)</w:t>
      </w: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</w:t>
      </w:r>
      <w:r w:rsidR="009D7EBA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und </w:t>
      </w: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Andreas </w:t>
      </w:r>
      <w:proofErr w:type="spellStart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Peham</w:t>
      </w:r>
      <w:proofErr w:type="spellEnd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(Dokumentationsarchiv des österreichischen Widerstands)</w:t>
      </w:r>
    </w:p>
    <w:p w:rsidR="003F0B91" w:rsidRPr="003F0B91" w:rsidRDefault="003F0B91" w:rsidP="009D7EBA">
      <w:pPr>
        <w:spacing w:line="276" w:lineRule="auto"/>
        <w:jc w:val="both"/>
        <w:rPr>
          <w:rFonts w:asciiTheme="minorHAnsi" w:eastAsia="Times New Roman" w:hAnsiTheme="minorHAnsi" w:cs="Mangal"/>
          <w:bCs/>
          <w:iCs/>
          <w:sz w:val="22"/>
          <w:szCs w:val="22"/>
        </w:rPr>
      </w:pPr>
    </w:p>
    <w:p w:rsidR="00DE4458" w:rsidRPr="003F0B91" w:rsidRDefault="00DE4458" w:rsidP="009D7EBA">
      <w:pPr>
        <w:spacing w:line="276" w:lineRule="auto"/>
        <w:jc w:val="both"/>
        <w:rPr>
          <w:rFonts w:asciiTheme="minorHAnsi" w:eastAsia="Times New Roman" w:hAnsiTheme="minorHAnsi" w:cs="Mangal"/>
          <w:b/>
          <w:bCs/>
          <w:iCs/>
          <w:sz w:val="22"/>
          <w:szCs w:val="22"/>
        </w:rPr>
      </w:pPr>
      <w:r w:rsidRPr="003F0B91">
        <w:rPr>
          <w:rFonts w:asciiTheme="minorHAnsi" w:eastAsia="Times New Roman" w:hAnsiTheme="minorHAnsi" w:cs="Mangal"/>
          <w:b/>
          <w:bCs/>
          <w:iCs/>
          <w:sz w:val="22"/>
          <w:szCs w:val="22"/>
        </w:rPr>
        <w:t>Antisemitismuskritische Bildungsarbeit: Bestandsaufnahme, Kritik und Anforderungen</w:t>
      </w:r>
    </w:p>
    <w:p w:rsidR="00DE4458" w:rsidRPr="003F0B91" w:rsidRDefault="00DE4458" w:rsidP="009D7EBA">
      <w:pPr>
        <w:spacing w:line="276" w:lineRule="auto"/>
        <w:jc w:val="both"/>
        <w:rPr>
          <w:rFonts w:asciiTheme="minorHAnsi" w:eastAsia="Times New Roman" w:hAnsiTheme="minorHAnsi" w:cs="Mangal"/>
          <w:bCs/>
          <w:iCs/>
          <w:sz w:val="22"/>
          <w:szCs w:val="22"/>
        </w:rPr>
      </w:pPr>
    </w:p>
    <w:p w:rsidR="00DE4458" w:rsidRPr="003F0B91" w:rsidRDefault="00DE4458" w:rsidP="009D7EBA">
      <w:pPr>
        <w:spacing w:line="276" w:lineRule="auto"/>
        <w:jc w:val="both"/>
        <w:rPr>
          <w:rFonts w:asciiTheme="minorHAnsi" w:eastAsia="Times New Roman" w:hAnsiTheme="minorHAnsi" w:cs="Mangal"/>
          <w:bCs/>
          <w:iCs/>
          <w:sz w:val="22"/>
          <w:szCs w:val="22"/>
        </w:rPr>
      </w:pP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Ausgehend von der, auch durch eigene Erfahrungen gesättigten</w:t>
      </w:r>
      <w:r w:rsidR="003F0B91">
        <w:rPr>
          <w:rFonts w:asciiTheme="minorHAnsi" w:eastAsia="Times New Roman" w:hAnsiTheme="minorHAnsi" w:cs="Mangal"/>
          <w:bCs/>
          <w:iCs/>
          <w:sz w:val="22"/>
          <w:szCs w:val="22"/>
        </w:rPr>
        <w:t>,</w:t>
      </w: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These einer nur beschränkten Wirkung von – auch noch so guter – Holocaust Education zur Prävention von Antisemitismus soll eingangs für die Notwendigkeit eigenständiger antisemitismuskritischer Bildungsanstrengungen argumentiert werden – nicht zuletzt angesichts der diesbezüglichen Leerstellen in der pädagogischen Praxis. Im nächsten Schritt werden die Essentials </w:t>
      </w:r>
      <w:r w:rsidR="003F0B91">
        <w:rPr>
          <w:rFonts w:asciiTheme="minorHAnsi" w:eastAsia="Times New Roman" w:hAnsiTheme="minorHAnsi" w:cs="Mangal"/>
          <w:bCs/>
          <w:iCs/>
          <w:sz w:val="22"/>
          <w:szCs w:val="22"/>
        </w:rPr>
        <w:t>solcher antisemitismuskriti</w:t>
      </w:r>
      <w:bookmarkStart w:id="0" w:name="_GoBack"/>
      <w:bookmarkEnd w:id="0"/>
      <w:r w:rsidR="003F0B91">
        <w:rPr>
          <w:rFonts w:asciiTheme="minorHAnsi" w:eastAsia="Times New Roman" w:hAnsiTheme="minorHAnsi" w:cs="Mangal"/>
          <w:bCs/>
          <w:iCs/>
          <w:sz w:val="22"/>
          <w:szCs w:val="22"/>
        </w:rPr>
        <w:t>scher</w:t>
      </w: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Bildung – auch und besonders in der Migrationsgesellschaft – zusammengefasst. Wer stattdessen von Antisemitismus unter (muslimischen) </w:t>
      </w:r>
      <w:proofErr w:type="spellStart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MigrantInnen</w:t>
      </w:r>
      <w:proofErr w:type="spellEnd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spricht, suggeriert, dass dieser ein Mitbringsel sei. Es sind vielmehr verschiedene Einflussfaktoren, die Antisemitismus auch unter </w:t>
      </w:r>
      <w:proofErr w:type="spellStart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Muslim</w:t>
      </w:r>
      <w:r w:rsidR="00347974">
        <w:rPr>
          <w:rFonts w:asciiTheme="minorHAnsi" w:eastAsia="Times New Roman" w:hAnsiTheme="minorHAnsi" w:cs="Mangal"/>
          <w:bCs/>
          <w:iCs/>
          <w:sz w:val="22"/>
          <w:szCs w:val="22"/>
        </w:rPr>
        <w:t>Inn</w:t>
      </w: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en</w:t>
      </w:r>
      <w:proofErr w:type="spellEnd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begünstigen können: Die hegemonialen Verhältnisse in den Herkunfts- und Aufnahmeländern, relative </w:t>
      </w:r>
      <w:proofErr w:type="spellStart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fraternale</w:t>
      </w:r>
      <w:proofErr w:type="spellEnd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Deprivation und Diskriminierungserfahrungen, die Ausgestaltung des jeweiligen Migrationsregimes (Integrationspolitik usw.), biographische Belastungen und Brüche, religiöse Halbbildung usw. Diese Einflussfaktoren stehen nicht einfach nebeneinander, sondern wirken in spezifischer Weise zusammen.</w:t>
      </w:r>
    </w:p>
    <w:p w:rsidR="00423D96" w:rsidRPr="003F0B91" w:rsidRDefault="00DE4458" w:rsidP="009D7EB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Die oben genannten Essentials der Antisemitismuskritik gruppieren sich um die Anfangserkenntnis jeder Antisemitismuskritik: dass die Ursachen nicht bei den Objekten oder Opfern, sondern bei den Subjekten oder </w:t>
      </w:r>
      <w:proofErr w:type="spellStart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>TäterInnen</w:t>
      </w:r>
      <w:proofErr w:type="spellEnd"/>
      <w:r w:rsidRPr="003F0B91">
        <w:rPr>
          <w:rFonts w:asciiTheme="minorHAnsi" w:eastAsia="Times New Roman" w:hAnsiTheme="minorHAnsi" w:cs="Mangal"/>
          <w:bCs/>
          <w:iCs/>
          <w:sz w:val="22"/>
          <w:szCs w:val="22"/>
        </w:rPr>
        <w:t xml:space="preserve"> zu suchen sind. Für die Präventionsarbeit hätte diese „Wendung auf das Subjekt“ (Theodor W. Adorno) besonders zu gelten. Nicht Aufklärung über Jüdinnen und Juden, sondern über eine/n selbst und die Gesellschaft hätte demnach im Vordergrund zu stehen. Schließlich soll anhand verschiedener Beispiele aus der Praxis die Wirksamkeit bestimmter Zugänge und Methoden diskutiert werden.</w:t>
      </w:r>
    </w:p>
    <w:sectPr w:rsidR="00423D96" w:rsidRPr="003F0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C"/>
    <w:rsid w:val="00347974"/>
    <w:rsid w:val="00354CA0"/>
    <w:rsid w:val="003F0B91"/>
    <w:rsid w:val="009D7EBA"/>
    <w:rsid w:val="00A0072A"/>
    <w:rsid w:val="00DE4458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2E02-46E6-4274-BE54-130900F6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4EC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rschrift2">
    <w:name w:val="heading 2"/>
    <w:next w:val="Standard"/>
    <w:link w:val="berschrift2Zchn"/>
    <w:uiPriority w:val="9"/>
    <w:unhideWhenUsed/>
    <w:qFormat/>
    <w:rsid w:val="00F314EC"/>
    <w:pPr>
      <w:keepNext/>
      <w:spacing w:after="0" w:line="240" w:lineRule="auto"/>
      <w:outlineLvl w:val="1"/>
    </w:pPr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314E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Company>Österreichische Akademie der Wissenschaften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Apostle, Katharine Anne</dc:creator>
  <cp:keywords/>
  <dc:description/>
  <cp:lastModifiedBy>Apostle, Katharine Anne</cp:lastModifiedBy>
  <cp:revision>5</cp:revision>
  <dcterms:created xsi:type="dcterms:W3CDTF">2018-06-18T11:52:00Z</dcterms:created>
  <dcterms:modified xsi:type="dcterms:W3CDTF">2018-09-19T11:35:00Z</dcterms:modified>
</cp:coreProperties>
</file>