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D17" w:rsidRPr="00205F9A" w:rsidRDefault="00DA2F37" w:rsidP="00B34DB2">
      <w:pPr>
        <w:spacing w:line="276" w:lineRule="auto"/>
        <w:jc w:val="both"/>
        <w:rPr>
          <w:rFonts w:ascii="Calibri" w:eastAsia="Avenir Next Demi Bold" w:hAnsi="Calibri" w:cs="Avenir Next Demi Bold"/>
          <w:b/>
        </w:rPr>
      </w:pPr>
      <w:r w:rsidRPr="00205F9A">
        <w:rPr>
          <w:rFonts w:ascii="Calibri" w:hAnsi="Calibri"/>
          <w:b/>
          <w:lang w:val="de-DE"/>
        </w:rPr>
        <w:t xml:space="preserve">Bildungsgerechtigkeit im Kontext von Deutschförderung </w:t>
      </w:r>
      <w:r w:rsidR="00B34DB2">
        <w:rPr>
          <w:rFonts w:ascii="Calibri" w:hAnsi="Calibri"/>
          <w:b/>
          <w:lang w:val="de-DE"/>
        </w:rPr>
        <w:t>und</w:t>
      </w:r>
      <w:r w:rsidRPr="00205F9A">
        <w:rPr>
          <w:rFonts w:ascii="Calibri" w:hAnsi="Calibri"/>
          <w:b/>
          <w:lang w:val="de-DE"/>
        </w:rPr>
        <w:t xml:space="preserve"> </w:t>
      </w:r>
      <w:r w:rsidR="00B34DB2">
        <w:rPr>
          <w:rFonts w:ascii="Calibri" w:hAnsi="Calibri"/>
          <w:b/>
          <w:lang w:val="de-DE"/>
        </w:rPr>
        <w:t>s</w:t>
      </w:r>
      <w:r w:rsidRPr="00205F9A">
        <w:rPr>
          <w:rFonts w:ascii="Calibri" w:hAnsi="Calibri"/>
          <w:b/>
          <w:lang w:val="de-DE"/>
        </w:rPr>
        <w:t>prachlicher Bildung in Schule und Kindergarten</w:t>
      </w:r>
    </w:p>
    <w:p w:rsidR="00C14D17" w:rsidRDefault="00C14D17" w:rsidP="00B34DB2">
      <w:pPr>
        <w:spacing w:line="276" w:lineRule="auto"/>
        <w:jc w:val="both"/>
        <w:rPr>
          <w:rFonts w:ascii="Calibri" w:eastAsia="Avenir Next" w:hAnsi="Calibri" w:cs="Avenir Next"/>
        </w:rPr>
      </w:pPr>
    </w:p>
    <w:p w:rsidR="00B34DB2" w:rsidRPr="0002271A" w:rsidRDefault="00B34DB2" w:rsidP="00B34DB2">
      <w:pPr>
        <w:spacing w:line="276" w:lineRule="auto"/>
        <w:jc w:val="both"/>
        <w:rPr>
          <w:rFonts w:ascii="Calibri" w:eastAsia="Avenir Next" w:hAnsi="Calibri" w:cs="Avenir Next"/>
        </w:rPr>
      </w:pPr>
      <w:r w:rsidRPr="00B34DB2">
        <w:rPr>
          <w:rFonts w:ascii="Calibri" w:eastAsia="Avenir Next" w:hAnsi="Calibri" w:cs="Avenir Next"/>
          <w:b/>
        </w:rPr>
        <w:t>Organisation</w:t>
      </w:r>
      <w:r>
        <w:rPr>
          <w:rFonts w:ascii="Calibri" w:eastAsia="Avenir Next" w:hAnsi="Calibri" w:cs="Avenir Next"/>
        </w:rPr>
        <w:t xml:space="preserve">: </w:t>
      </w:r>
      <w:r w:rsidRPr="0002271A">
        <w:rPr>
          <w:rFonts w:ascii="Calibri" w:hAnsi="Calibri"/>
          <w:lang w:val="de-DE"/>
        </w:rPr>
        <w:t xml:space="preserve">Beatrice Müller </w:t>
      </w:r>
      <w:r>
        <w:rPr>
          <w:rFonts w:ascii="Calibri" w:hAnsi="Calibri"/>
          <w:lang w:val="de-DE"/>
        </w:rPr>
        <w:t xml:space="preserve">und </w:t>
      </w:r>
      <w:r w:rsidRPr="0002271A">
        <w:rPr>
          <w:rFonts w:ascii="Calibri" w:hAnsi="Calibri"/>
          <w:lang w:val="de-DE"/>
        </w:rPr>
        <w:t>Hannes Schweiger (Institut f</w:t>
      </w:r>
      <w:r w:rsidRPr="0002271A">
        <w:rPr>
          <w:rFonts w:ascii="Calibri" w:hAnsi="Calibri"/>
        </w:rPr>
        <w:t>ü</w:t>
      </w:r>
      <w:r w:rsidRPr="0002271A">
        <w:rPr>
          <w:rFonts w:ascii="Calibri" w:hAnsi="Calibri"/>
          <w:lang w:val="de-DE"/>
        </w:rPr>
        <w:t xml:space="preserve">r Germanistik der </w:t>
      </w:r>
      <w:proofErr w:type="spellStart"/>
      <w:r w:rsidRPr="0002271A">
        <w:rPr>
          <w:rFonts w:ascii="Calibri" w:hAnsi="Calibri"/>
        </w:rPr>
        <w:t>Universitä</w:t>
      </w:r>
      <w:proofErr w:type="spellEnd"/>
      <w:r>
        <w:rPr>
          <w:rFonts w:ascii="Calibri" w:hAnsi="Calibri"/>
          <w:lang w:val="de-DE"/>
        </w:rPr>
        <w:t>t Wien)</w:t>
      </w:r>
    </w:p>
    <w:p w:rsidR="00B34DB2" w:rsidRPr="0002271A" w:rsidRDefault="00B34DB2" w:rsidP="00B34DB2">
      <w:pPr>
        <w:spacing w:line="276" w:lineRule="auto"/>
        <w:jc w:val="both"/>
        <w:rPr>
          <w:rFonts w:ascii="Calibri" w:eastAsia="Avenir Next" w:hAnsi="Calibri" w:cs="Avenir Next"/>
        </w:rPr>
      </w:pPr>
    </w:p>
    <w:p w:rsidR="00B34DB2" w:rsidRPr="0002271A" w:rsidRDefault="00DA2F37" w:rsidP="00B34DB2">
      <w:pPr>
        <w:spacing w:line="276" w:lineRule="auto"/>
        <w:jc w:val="both"/>
        <w:rPr>
          <w:rFonts w:ascii="Calibri" w:eastAsia="Avenir Next" w:hAnsi="Calibri" w:cs="Avenir Next"/>
        </w:rPr>
      </w:pPr>
      <w:r w:rsidRPr="00B34DB2">
        <w:rPr>
          <w:rFonts w:ascii="Calibri" w:hAnsi="Calibri"/>
          <w:b/>
          <w:lang w:val="de-DE"/>
        </w:rPr>
        <w:t>Moderation</w:t>
      </w:r>
      <w:r w:rsidRPr="0002271A">
        <w:rPr>
          <w:rFonts w:ascii="Calibri" w:hAnsi="Calibri"/>
          <w:lang w:val="de-DE"/>
        </w:rPr>
        <w:t xml:space="preserve">: </w:t>
      </w:r>
      <w:r w:rsidR="00B34DB2" w:rsidRPr="0002271A">
        <w:rPr>
          <w:rFonts w:ascii="Calibri" w:hAnsi="Calibri"/>
          <w:lang w:val="de-DE"/>
        </w:rPr>
        <w:t xml:space="preserve">Beatrice Müller </w:t>
      </w:r>
      <w:r w:rsidR="00B34DB2">
        <w:rPr>
          <w:rFonts w:ascii="Calibri" w:hAnsi="Calibri"/>
          <w:lang w:val="de-DE"/>
        </w:rPr>
        <w:t xml:space="preserve">und </w:t>
      </w:r>
      <w:r w:rsidR="00B34DB2" w:rsidRPr="0002271A">
        <w:rPr>
          <w:rFonts w:ascii="Calibri" w:hAnsi="Calibri"/>
          <w:lang w:val="de-DE"/>
        </w:rPr>
        <w:t>Hannes Schweiger (Institut f</w:t>
      </w:r>
      <w:r w:rsidR="00B34DB2" w:rsidRPr="0002271A">
        <w:rPr>
          <w:rFonts w:ascii="Calibri" w:hAnsi="Calibri"/>
        </w:rPr>
        <w:t>ü</w:t>
      </w:r>
      <w:r w:rsidR="00B34DB2" w:rsidRPr="0002271A">
        <w:rPr>
          <w:rFonts w:ascii="Calibri" w:hAnsi="Calibri"/>
          <w:lang w:val="de-DE"/>
        </w:rPr>
        <w:t xml:space="preserve">r Germanistik der </w:t>
      </w:r>
      <w:proofErr w:type="spellStart"/>
      <w:r w:rsidR="00B34DB2" w:rsidRPr="0002271A">
        <w:rPr>
          <w:rFonts w:ascii="Calibri" w:hAnsi="Calibri"/>
        </w:rPr>
        <w:t>Universitä</w:t>
      </w:r>
      <w:proofErr w:type="spellEnd"/>
      <w:r w:rsidR="00B34DB2">
        <w:rPr>
          <w:rFonts w:ascii="Calibri" w:hAnsi="Calibri"/>
          <w:lang w:val="de-DE"/>
        </w:rPr>
        <w:t>t Wien)</w:t>
      </w:r>
    </w:p>
    <w:p w:rsidR="00C14D17" w:rsidRPr="0002271A" w:rsidRDefault="00C14D17" w:rsidP="00B34DB2">
      <w:pPr>
        <w:spacing w:line="276" w:lineRule="auto"/>
        <w:jc w:val="both"/>
        <w:rPr>
          <w:rFonts w:ascii="Calibri" w:eastAsia="Avenir Next" w:hAnsi="Calibri" w:cs="Avenir Next"/>
        </w:rPr>
      </w:pPr>
    </w:p>
    <w:p w:rsidR="00C14D17" w:rsidRPr="0002271A" w:rsidRDefault="00DA2F37" w:rsidP="00B34DB2">
      <w:pPr>
        <w:spacing w:line="276" w:lineRule="auto"/>
        <w:jc w:val="both"/>
        <w:rPr>
          <w:rFonts w:ascii="Calibri" w:eastAsia="Avenir Next" w:hAnsi="Calibri" w:cs="Avenir Next"/>
        </w:rPr>
      </w:pPr>
      <w:proofErr w:type="spellStart"/>
      <w:r w:rsidRPr="00B34DB2">
        <w:rPr>
          <w:rFonts w:ascii="Calibri" w:hAnsi="Calibri"/>
          <w:b/>
          <w:lang w:val="de-DE"/>
        </w:rPr>
        <w:t>Diskutantin</w:t>
      </w:r>
      <w:proofErr w:type="spellEnd"/>
      <w:r w:rsidRPr="0002271A">
        <w:rPr>
          <w:rFonts w:ascii="Calibri" w:hAnsi="Calibri"/>
          <w:lang w:val="de-DE"/>
        </w:rPr>
        <w:t>: Sara</w:t>
      </w:r>
      <w:r w:rsidRPr="0002271A">
        <w:rPr>
          <w:rFonts w:ascii="Calibri" w:hAnsi="Calibri"/>
        </w:rPr>
        <w:t xml:space="preserve"> </w:t>
      </w:r>
      <w:proofErr w:type="spellStart"/>
      <w:r w:rsidRPr="0002271A">
        <w:rPr>
          <w:rFonts w:ascii="Calibri" w:hAnsi="Calibri"/>
        </w:rPr>
        <w:t>Hägi</w:t>
      </w:r>
      <w:proofErr w:type="spellEnd"/>
      <w:r w:rsidRPr="0002271A">
        <w:rPr>
          <w:rFonts w:ascii="Calibri" w:hAnsi="Calibri"/>
        </w:rPr>
        <w:t>-Mea</w:t>
      </w:r>
      <w:r w:rsidRPr="0002271A">
        <w:rPr>
          <w:rFonts w:ascii="Calibri" w:hAnsi="Calibri"/>
          <w:lang w:val="de-DE"/>
        </w:rPr>
        <w:t>d (</w:t>
      </w:r>
      <w:r w:rsidRPr="0002271A">
        <w:rPr>
          <w:rFonts w:ascii="Calibri" w:hAnsi="Calibri"/>
        </w:rPr>
        <w:t xml:space="preserve">Institut </w:t>
      </w:r>
      <w:proofErr w:type="spellStart"/>
      <w:r w:rsidRPr="0002271A">
        <w:rPr>
          <w:rFonts w:ascii="Calibri" w:hAnsi="Calibri"/>
        </w:rPr>
        <w:t>fü</w:t>
      </w:r>
      <w:proofErr w:type="spellEnd"/>
      <w:r w:rsidRPr="0002271A">
        <w:rPr>
          <w:rFonts w:ascii="Calibri" w:hAnsi="Calibri"/>
          <w:lang w:val="de-DE"/>
        </w:rPr>
        <w:t xml:space="preserve">r Bildungsforschung an der </w:t>
      </w:r>
      <w:r w:rsidRPr="0002271A">
        <w:rPr>
          <w:rFonts w:ascii="Calibri" w:hAnsi="Calibri"/>
        </w:rPr>
        <w:t xml:space="preserve">School </w:t>
      </w:r>
      <w:proofErr w:type="spellStart"/>
      <w:r w:rsidRPr="0002271A">
        <w:rPr>
          <w:rFonts w:ascii="Calibri" w:hAnsi="Calibri"/>
        </w:rPr>
        <w:t>of</w:t>
      </w:r>
      <w:proofErr w:type="spellEnd"/>
      <w:r w:rsidRPr="0002271A">
        <w:rPr>
          <w:rFonts w:ascii="Calibri" w:hAnsi="Calibri"/>
        </w:rPr>
        <w:t xml:space="preserve"> Education</w:t>
      </w:r>
      <w:r w:rsidRPr="0002271A">
        <w:rPr>
          <w:rFonts w:ascii="Calibri" w:hAnsi="Calibri"/>
          <w:lang w:val="de-DE"/>
        </w:rPr>
        <w:t xml:space="preserve">, Bergische </w:t>
      </w:r>
      <w:proofErr w:type="spellStart"/>
      <w:r w:rsidRPr="0002271A">
        <w:rPr>
          <w:rFonts w:ascii="Calibri" w:hAnsi="Calibri"/>
          <w:lang w:val="de-DE"/>
        </w:rPr>
        <w:t>Universit</w:t>
      </w:r>
      <w:proofErr w:type="spellEnd"/>
      <w:r w:rsidRPr="0002271A">
        <w:rPr>
          <w:rFonts w:ascii="Calibri" w:hAnsi="Calibri"/>
        </w:rPr>
        <w:t>ä</w:t>
      </w:r>
      <w:r w:rsidRPr="0002271A">
        <w:rPr>
          <w:rFonts w:ascii="Calibri" w:hAnsi="Calibri"/>
          <w:lang w:val="de-DE"/>
        </w:rPr>
        <w:t>t Wuppertal)</w:t>
      </w:r>
    </w:p>
    <w:p w:rsidR="00C14D17" w:rsidRDefault="00C14D17" w:rsidP="00B34DB2">
      <w:pPr>
        <w:spacing w:line="276" w:lineRule="auto"/>
        <w:jc w:val="both"/>
        <w:rPr>
          <w:rFonts w:ascii="Calibri" w:eastAsia="Avenir Next" w:hAnsi="Calibri" w:cs="Avenir Next"/>
        </w:rPr>
      </w:pPr>
    </w:p>
    <w:p w:rsidR="00B34DB2" w:rsidRPr="0002271A" w:rsidRDefault="00B34DB2" w:rsidP="00B34DB2">
      <w:pPr>
        <w:spacing w:line="276" w:lineRule="auto"/>
        <w:jc w:val="both"/>
        <w:rPr>
          <w:rFonts w:ascii="Calibri" w:eastAsia="Avenir Next" w:hAnsi="Calibri" w:cs="Avenir Next"/>
        </w:rPr>
      </w:pPr>
    </w:p>
    <w:p w:rsidR="00205F9A" w:rsidRDefault="00DA2F37" w:rsidP="00B34DB2">
      <w:pPr>
        <w:spacing w:line="276" w:lineRule="auto"/>
        <w:jc w:val="both"/>
        <w:rPr>
          <w:rFonts w:ascii="Calibri" w:hAnsi="Calibri"/>
          <w:lang w:val="de-DE"/>
        </w:rPr>
      </w:pPr>
      <w:r w:rsidRPr="0002271A">
        <w:rPr>
          <w:rFonts w:ascii="Calibri" w:hAnsi="Calibri"/>
          <w:lang w:val="de-DE"/>
        </w:rPr>
        <w:t>Sprache ermächtigt Menschen zum Partizipieren an gesellschaftlichen Prozessen. In Diskursen über Migration und Integration nimmt Sprache deshalb eine zentrale Rolle ein und wird häufig als der zentrale und unumgängliche Faktor für Integration verhandelt. So verwundert es auch nicht, dass in den Bildungseinrichtungen die Sprachaus</w:t>
      </w:r>
      <w:r w:rsidR="00205F9A">
        <w:rPr>
          <w:rFonts w:ascii="Calibri" w:hAnsi="Calibri"/>
          <w:lang w:val="de-DE"/>
        </w:rPr>
        <w:t>bildung und genauer die Deutsch</w:t>
      </w:r>
      <w:r w:rsidRPr="0002271A">
        <w:rPr>
          <w:rFonts w:ascii="Calibri" w:hAnsi="Calibri"/>
          <w:lang w:val="de-DE"/>
        </w:rPr>
        <w:t xml:space="preserve">förderung eine wichtige Rolle einnimmt. Nun sehen sich verschiedene europäische Länder in der Situation, die Ausbildung der Nationalsprache in den Bildungseinrichtungen Schule und Kindergarten für zugewanderte Kinder und Jugendliche sowie für Menschen mit </w:t>
      </w:r>
      <w:r w:rsidR="00205F9A">
        <w:rPr>
          <w:rFonts w:ascii="Calibri" w:hAnsi="Calibri"/>
          <w:lang w:val="de-DE"/>
        </w:rPr>
        <w:t>Migrations</w:t>
      </w:r>
      <w:r w:rsidRPr="0002271A">
        <w:rPr>
          <w:rFonts w:ascii="Calibri" w:hAnsi="Calibri"/>
          <w:lang w:val="de-DE"/>
        </w:rPr>
        <w:t>hintergrund so zu gestalten, dass</w:t>
      </w:r>
      <w:r w:rsidR="00205F9A">
        <w:rPr>
          <w:rFonts w:ascii="Calibri" w:hAnsi="Calibri"/>
          <w:lang w:val="de-DE"/>
        </w:rPr>
        <w:t xml:space="preserve"> ein</w:t>
      </w:r>
      <w:r w:rsidRPr="0002271A">
        <w:rPr>
          <w:rFonts w:ascii="Calibri" w:hAnsi="Calibri"/>
          <w:lang w:val="de-DE"/>
        </w:rPr>
        <w:t xml:space="preserve"> möglichst hoher Bildungserfolg gewährleistet und zugleich eine integrierende Funktion erfüllt wird. Verschiedene vergleichende Bildungsstudien weisen allerdings deutliche Benachteiligungen von Kindern und Ju</w:t>
      </w:r>
      <w:r w:rsidR="00205F9A">
        <w:rPr>
          <w:rFonts w:ascii="Calibri" w:hAnsi="Calibri"/>
          <w:lang w:val="de-DE"/>
        </w:rPr>
        <w:t>gendlichen mit Migrations</w:t>
      </w:r>
      <w:r w:rsidRPr="0002271A">
        <w:rPr>
          <w:rFonts w:ascii="Calibri" w:hAnsi="Calibri"/>
          <w:lang w:val="de-DE"/>
        </w:rPr>
        <w:t>geschichte im Vergleich zu Kindern und Jugendlich</w:t>
      </w:r>
      <w:r>
        <w:rPr>
          <w:rFonts w:ascii="Calibri" w:hAnsi="Calibri"/>
          <w:lang w:val="de-DE"/>
        </w:rPr>
        <w:t>en ohne Migrationsgeschichte aus</w:t>
      </w:r>
      <w:r w:rsidRPr="0002271A">
        <w:rPr>
          <w:rFonts w:ascii="Calibri" w:hAnsi="Calibri"/>
          <w:lang w:val="de-DE"/>
        </w:rPr>
        <w:t>. Dabei stellt sich nicht nur die Frage nach der Gestaltung zielführender Maß</w:t>
      </w:r>
      <w:r w:rsidR="00205F9A">
        <w:rPr>
          <w:rFonts w:ascii="Calibri" w:hAnsi="Calibri"/>
          <w:lang w:val="de-DE"/>
        </w:rPr>
        <w:t>nahmen der Sprach</w:t>
      </w:r>
      <w:r w:rsidRPr="0002271A">
        <w:rPr>
          <w:rFonts w:ascii="Calibri" w:hAnsi="Calibri"/>
          <w:lang w:val="de-DE"/>
        </w:rPr>
        <w:t xml:space="preserve">förderung, sondern auch die Frage nach den Bedingungen </w:t>
      </w:r>
      <w:r w:rsidR="00B34DB2">
        <w:rPr>
          <w:rFonts w:ascii="Calibri" w:hAnsi="Calibri"/>
          <w:lang w:val="de-DE"/>
        </w:rPr>
        <w:t>für mehr Bildungsgerechtigkeit.</w:t>
      </w:r>
    </w:p>
    <w:p w:rsidR="00B34DB2" w:rsidRPr="0002271A" w:rsidRDefault="00B34DB2" w:rsidP="00B34DB2">
      <w:pPr>
        <w:spacing w:line="276" w:lineRule="auto"/>
        <w:jc w:val="both"/>
        <w:rPr>
          <w:rFonts w:ascii="Calibri" w:eastAsia="Avenir Next" w:hAnsi="Calibri" w:cs="Avenir Next"/>
        </w:rPr>
      </w:pPr>
      <w:bookmarkStart w:id="0" w:name="_GoBack"/>
      <w:bookmarkEnd w:id="0"/>
    </w:p>
    <w:p w:rsidR="00C14D17" w:rsidRPr="0002271A" w:rsidRDefault="00DA2F37" w:rsidP="00B34DB2">
      <w:pPr>
        <w:spacing w:line="276" w:lineRule="auto"/>
        <w:jc w:val="both"/>
        <w:rPr>
          <w:rFonts w:ascii="Calibri" w:eastAsia="Avenir Next" w:hAnsi="Calibri" w:cs="Avenir Next"/>
        </w:rPr>
      </w:pPr>
      <w:r w:rsidRPr="0002271A">
        <w:rPr>
          <w:rFonts w:ascii="Calibri" w:hAnsi="Calibri"/>
          <w:lang w:val="de-DE"/>
        </w:rPr>
        <w:t>Das Panel beschäftigt sich in vier Vorträgen mit Fragen der Deutschförderung im Sinne der Bildungsgerechtigkeit in den Bildungseinrichtungen vom Kindergarten über die Pflichtsch</w:t>
      </w:r>
      <w:r>
        <w:rPr>
          <w:rFonts w:ascii="Calibri" w:hAnsi="Calibri"/>
          <w:lang w:val="de-DE"/>
        </w:rPr>
        <w:t>ule bis zur Allgemeinbildenden H</w:t>
      </w:r>
      <w:r w:rsidRPr="0002271A">
        <w:rPr>
          <w:rFonts w:ascii="Calibri" w:hAnsi="Calibri"/>
          <w:lang w:val="de-DE"/>
        </w:rPr>
        <w:t>öheren Schule</w:t>
      </w:r>
      <w:proofErr w:type="gramStart"/>
      <w:r w:rsidRPr="0002271A">
        <w:rPr>
          <w:rFonts w:ascii="Calibri" w:hAnsi="Calibri"/>
          <w:lang w:val="de-DE"/>
        </w:rPr>
        <w:t xml:space="preserve">.  </w:t>
      </w:r>
      <w:proofErr w:type="gramEnd"/>
      <w:r w:rsidRPr="0002271A">
        <w:rPr>
          <w:rFonts w:ascii="Calibri" w:hAnsi="Calibri"/>
          <w:lang w:val="de-DE"/>
        </w:rPr>
        <w:t xml:space="preserve">Neben der Deutschförderung wird Sprachliche Bildung im Allgemeinen in den Blick genommen und im Kontext des Deutschlernens sowie vor dem Hintergrund von Integration und Migration verortet. Es </w:t>
      </w:r>
      <w:r w:rsidR="00205F9A">
        <w:rPr>
          <w:rFonts w:ascii="Calibri" w:hAnsi="Calibri"/>
          <w:lang w:val="de-DE"/>
        </w:rPr>
        <w:t>werden Aufgaben, Herausforderun</w:t>
      </w:r>
      <w:r w:rsidRPr="0002271A">
        <w:rPr>
          <w:rFonts w:ascii="Calibri" w:hAnsi="Calibri"/>
          <w:lang w:val="de-DE"/>
        </w:rPr>
        <w:t>gen und Potentiale der Deutschförderung und Sprachlicher</w:t>
      </w:r>
      <w:r w:rsidR="00205F9A">
        <w:rPr>
          <w:rFonts w:ascii="Calibri" w:hAnsi="Calibri"/>
          <w:lang w:val="de-DE"/>
        </w:rPr>
        <w:t xml:space="preserve"> Bildung unter migrationsgesell</w:t>
      </w:r>
      <w:r w:rsidRPr="0002271A">
        <w:rPr>
          <w:rFonts w:ascii="Calibri" w:hAnsi="Calibri"/>
          <w:lang w:val="de-DE"/>
        </w:rPr>
        <w:t>schaftlichen Bedingungen aus verschiedenen disziplinären Perspektiven herausgearbeitet und vorgestellt.</w:t>
      </w:r>
    </w:p>
    <w:p w:rsidR="00C14D17" w:rsidRPr="0002271A" w:rsidRDefault="00DA2F37" w:rsidP="00B34DB2">
      <w:pPr>
        <w:spacing w:line="276" w:lineRule="auto"/>
        <w:jc w:val="both"/>
        <w:rPr>
          <w:rFonts w:ascii="Calibri" w:eastAsia="Avenir Next" w:hAnsi="Calibri" w:cs="Avenir Next"/>
        </w:rPr>
      </w:pPr>
      <w:r w:rsidRPr="0002271A">
        <w:rPr>
          <w:rFonts w:ascii="Calibri" w:hAnsi="Calibri"/>
          <w:lang w:val="de-DE"/>
        </w:rPr>
        <w:t xml:space="preserve">Der erste Vortrag „Modelle der Sprachlichen Bildung und Konzepte der </w:t>
      </w:r>
      <w:proofErr w:type="spellStart"/>
      <w:r w:rsidRPr="0002271A">
        <w:rPr>
          <w:rFonts w:ascii="Calibri" w:hAnsi="Calibri"/>
          <w:lang w:val="de-DE"/>
        </w:rPr>
        <w:t>Deutschf</w:t>
      </w:r>
      <w:proofErr w:type="spellEnd"/>
      <w:r w:rsidRPr="0002271A">
        <w:rPr>
          <w:rFonts w:ascii="Calibri" w:hAnsi="Calibri"/>
          <w:lang w:val="sv-SE"/>
        </w:rPr>
        <w:t>ö</w:t>
      </w:r>
      <w:proofErr w:type="spellStart"/>
      <w:r w:rsidRPr="0002271A">
        <w:rPr>
          <w:rFonts w:ascii="Calibri" w:hAnsi="Calibri"/>
          <w:lang w:val="de-DE"/>
        </w:rPr>
        <w:t>rderung</w:t>
      </w:r>
      <w:proofErr w:type="spellEnd"/>
      <w:r w:rsidRPr="0002271A">
        <w:rPr>
          <w:rFonts w:ascii="Calibri" w:hAnsi="Calibri"/>
          <w:lang w:val="de-DE"/>
        </w:rPr>
        <w:t xml:space="preserve"> in unterschiedlichen Bildungsbereichen“ gibt einen Überblick zur Deutschförderung bzw. zur Sprachlichen Bildung besonders in österreichischen Bildungseinrichtungen und diskutiert aus der Perspektive von Deutsch als Zweitsprache und vor dem Hintergrund von Bildungsgerechtigkeit sowie mit Blick auf Standortspezifika die unterschiedlichen Modelle und Konzepte.  Der zweite Vortrag „Eine longitudinale Perspektive auf Lesen und Erz</w:t>
      </w:r>
      <w:r w:rsidRPr="0002271A">
        <w:rPr>
          <w:rFonts w:ascii="Calibri" w:hAnsi="Calibri"/>
        </w:rPr>
        <w:t>ä</w:t>
      </w:r>
      <w:proofErr w:type="spellStart"/>
      <w:r w:rsidRPr="0002271A">
        <w:rPr>
          <w:rFonts w:ascii="Calibri" w:hAnsi="Calibri"/>
          <w:lang w:val="de-DE"/>
        </w:rPr>
        <w:t>hlen</w:t>
      </w:r>
      <w:proofErr w:type="spellEnd"/>
      <w:r w:rsidRPr="0002271A">
        <w:rPr>
          <w:rFonts w:ascii="Calibri" w:hAnsi="Calibri"/>
          <w:lang w:val="de-DE"/>
        </w:rPr>
        <w:t xml:space="preserve"> als Teil der Sprachlichen Bildung“ fokussiert aus einer linguistischen Perspektive den Einfluss von Lesen und Erzählen auf die Sprachliche Bildung bei Kindern </w:t>
      </w:r>
      <w:r w:rsidR="00205F9A">
        <w:rPr>
          <w:rFonts w:ascii="Calibri" w:hAnsi="Calibri"/>
          <w:lang w:val="de-DE"/>
        </w:rPr>
        <w:t>in Kindergarten und</w:t>
      </w:r>
      <w:r w:rsidRPr="0002271A">
        <w:rPr>
          <w:rFonts w:ascii="Calibri" w:hAnsi="Calibri"/>
          <w:lang w:val="de-DE"/>
        </w:rPr>
        <w:t xml:space="preserve"> Volksschule. Der dritte Vortrag „Die F</w:t>
      </w:r>
      <w:r w:rsidRPr="0002271A">
        <w:rPr>
          <w:rFonts w:ascii="Calibri" w:hAnsi="Calibri"/>
          <w:lang w:val="sv-SE"/>
        </w:rPr>
        <w:t>ö</w:t>
      </w:r>
      <w:proofErr w:type="spellStart"/>
      <w:r w:rsidRPr="0002271A">
        <w:rPr>
          <w:rFonts w:ascii="Calibri" w:hAnsi="Calibri"/>
          <w:lang w:val="de-DE"/>
        </w:rPr>
        <w:t>rderung</w:t>
      </w:r>
      <w:proofErr w:type="spellEnd"/>
      <w:r w:rsidRPr="0002271A">
        <w:rPr>
          <w:rFonts w:ascii="Calibri" w:hAnsi="Calibri"/>
          <w:lang w:val="de-DE"/>
        </w:rPr>
        <w:t xml:space="preserve"> von Schreibkompetenz im Sinne </w:t>
      </w:r>
      <w:proofErr w:type="spellStart"/>
      <w:r w:rsidRPr="0002271A">
        <w:rPr>
          <w:rFonts w:ascii="Calibri" w:hAnsi="Calibri"/>
          <w:lang w:val="de-DE"/>
        </w:rPr>
        <w:t>Durchg</w:t>
      </w:r>
      <w:proofErr w:type="spellEnd"/>
      <w:r w:rsidRPr="0002271A">
        <w:rPr>
          <w:rFonts w:ascii="Calibri" w:hAnsi="Calibri"/>
        </w:rPr>
        <w:t>ä</w:t>
      </w:r>
      <w:proofErr w:type="spellStart"/>
      <w:r w:rsidRPr="0002271A">
        <w:rPr>
          <w:rFonts w:ascii="Calibri" w:hAnsi="Calibri"/>
          <w:lang w:val="de-DE"/>
        </w:rPr>
        <w:t>ngiger</w:t>
      </w:r>
      <w:proofErr w:type="spellEnd"/>
      <w:r w:rsidRPr="0002271A">
        <w:rPr>
          <w:rFonts w:ascii="Calibri" w:hAnsi="Calibri"/>
          <w:lang w:val="de-DE"/>
        </w:rPr>
        <w:t xml:space="preserve"> Sprachbildung“ thematisiert die Entwicklung und Ausbildung von Schreibkompe</w:t>
      </w:r>
      <w:r w:rsidR="00205F9A">
        <w:rPr>
          <w:rFonts w:ascii="Calibri" w:hAnsi="Calibri"/>
          <w:lang w:val="de-DE"/>
        </w:rPr>
        <w:t>tenz in der Allgemeinbildenden H</w:t>
      </w:r>
      <w:r w:rsidRPr="0002271A">
        <w:rPr>
          <w:rFonts w:ascii="Calibri" w:hAnsi="Calibri"/>
          <w:lang w:val="de-DE"/>
        </w:rPr>
        <w:t>öheren Schule in allen F</w:t>
      </w:r>
      <w:r w:rsidRPr="0002271A">
        <w:rPr>
          <w:rFonts w:ascii="Calibri" w:hAnsi="Calibri"/>
        </w:rPr>
        <w:t>ä</w:t>
      </w:r>
      <w:proofErr w:type="spellStart"/>
      <w:r w:rsidRPr="0002271A">
        <w:rPr>
          <w:rFonts w:ascii="Calibri" w:hAnsi="Calibri"/>
          <w:lang w:val="de-DE"/>
        </w:rPr>
        <w:t>chern</w:t>
      </w:r>
      <w:proofErr w:type="spellEnd"/>
      <w:r w:rsidRPr="0002271A">
        <w:rPr>
          <w:rFonts w:ascii="Calibri" w:hAnsi="Calibri"/>
          <w:lang w:val="de-DE"/>
        </w:rPr>
        <w:t xml:space="preserve"> im Sinne des Konzepts einer Durchgängigen Sprachbildung unter besonderer Berücksichtigung von Selbstermächtigung. Der vierte Vortrag „Sprachliche Bildung in der </w:t>
      </w:r>
      <w:proofErr w:type="spellStart"/>
      <w:r w:rsidRPr="0002271A">
        <w:rPr>
          <w:rFonts w:ascii="Calibri" w:hAnsi="Calibri"/>
          <w:lang w:val="de-DE"/>
        </w:rPr>
        <w:t>LehrerInnenbildung</w:t>
      </w:r>
      <w:proofErr w:type="spellEnd"/>
      <w:r w:rsidRPr="0002271A">
        <w:rPr>
          <w:rFonts w:ascii="Calibri" w:hAnsi="Calibri"/>
          <w:lang w:val="de-DE"/>
        </w:rPr>
        <w:t xml:space="preserve"> im Kontext von Mehrsprachigkeit und Migration“ fragt </w:t>
      </w:r>
      <w:r w:rsidR="00205F9A" w:rsidRPr="0002271A">
        <w:rPr>
          <w:rFonts w:ascii="Calibri" w:hAnsi="Calibri"/>
          <w:lang w:val="de-DE"/>
        </w:rPr>
        <w:t>auf der Basis einer detailliert</w:t>
      </w:r>
      <w:r w:rsidR="00205F9A">
        <w:rPr>
          <w:rFonts w:ascii="Calibri" w:hAnsi="Calibri"/>
          <w:lang w:val="de-DE"/>
        </w:rPr>
        <w:t>en Analyse der derzeit geltenden</w:t>
      </w:r>
      <w:r w:rsidR="00205F9A" w:rsidRPr="0002271A">
        <w:rPr>
          <w:rFonts w:ascii="Calibri" w:hAnsi="Calibri"/>
          <w:lang w:val="de-DE"/>
        </w:rPr>
        <w:t xml:space="preserve"> Curricula und unter Bezugnahme auf internationale Standards und Modelle der </w:t>
      </w:r>
      <w:proofErr w:type="spellStart"/>
      <w:r w:rsidR="00205F9A" w:rsidRPr="0002271A">
        <w:rPr>
          <w:rFonts w:ascii="Calibri" w:hAnsi="Calibri"/>
          <w:lang w:val="de-DE"/>
        </w:rPr>
        <w:t>LehrerInnenbildung</w:t>
      </w:r>
      <w:proofErr w:type="spellEnd"/>
      <w:r w:rsidR="00205F9A" w:rsidRPr="0002271A">
        <w:rPr>
          <w:rFonts w:ascii="Calibri" w:hAnsi="Calibri"/>
          <w:lang w:val="de-DE"/>
        </w:rPr>
        <w:t xml:space="preserve"> </w:t>
      </w:r>
      <w:r w:rsidRPr="0002271A">
        <w:rPr>
          <w:rFonts w:ascii="Calibri" w:hAnsi="Calibri"/>
          <w:lang w:val="de-DE"/>
        </w:rPr>
        <w:t>nach den</w:t>
      </w:r>
      <w:r>
        <w:rPr>
          <w:rFonts w:ascii="Calibri" w:hAnsi="Calibri"/>
          <w:lang w:val="de-DE"/>
        </w:rPr>
        <w:t xml:space="preserve"> -</w:t>
      </w:r>
      <w:r w:rsidRPr="0002271A">
        <w:rPr>
          <w:rFonts w:ascii="Calibri" w:hAnsi="Calibri"/>
          <w:lang w:val="de-DE"/>
        </w:rPr>
        <w:t xml:space="preserve"> im Sinne Sprachlicher Bildung in allen Fächern notwendigen</w:t>
      </w:r>
      <w:r>
        <w:rPr>
          <w:rFonts w:ascii="Calibri" w:hAnsi="Calibri"/>
          <w:lang w:val="de-DE"/>
        </w:rPr>
        <w:t xml:space="preserve"> -</w:t>
      </w:r>
      <w:r w:rsidRPr="0002271A">
        <w:rPr>
          <w:rFonts w:ascii="Calibri" w:hAnsi="Calibri"/>
          <w:lang w:val="de-DE"/>
        </w:rPr>
        <w:t xml:space="preserve"> Kompetenzen der Lehrkräfte. </w:t>
      </w:r>
    </w:p>
    <w:p w:rsidR="00C14D17" w:rsidRPr="0002271A" w:rsidRDefault="00DA2F37" w:rsidP="00B34DB2">
      <w:pPr>
        <w:spacing w:line="276" w:lineRule="auto"/>
        <w:jc w:val="both"/>
        <w:rPr>
          <w:rFonts w:ascii="Calibri" w:eastAsia="Avenir Next" w:hAnsi="Calibri" w:cs="Avenir Next"/>
        </w:rPr>
      </w:pPr>
      <w:r w:rsidRPr="0002271A">
        <w:rPr>
          <w:rFonts w:ascii="Calibri" w:hAnsi="Calibri"/>
          <w:lang w:val="de-DE"/>
        </w:rPr>
        <w:t>Ziel des Panels ist eine mehrperspektivische Darstellung und Diskussion von Deutschförderung und Sprachlicher Bildung im Kontext von Bildungsgerechtigkeit in österreichischen Bildungseinrichtungen:</w:t>
      </w:r>
    </w:p>
    <w:p w:rsidR="00C14D17" w:rsidRPr="0002271A" w:rsidRDefault="00DA2F37" w:rsidP="00B34DB2">
      <w:pPr>
        <w:numPr>
          <w:ilvl w:val="2"/>
          <w:numId w:val="2"/>
        </w:numPr>
        <w:spacing w:line="276" w:lineRule="auto"/>
        <w:jc w:val="both"/>
        <w:rPr>
          <w:rFonts w:ascii="Calibri" w:hAnsi="Calibri"/>
          <w:lang w:val="de-DE"/>
        </w:rPr>
      </w:pPr>
      <w:r w:rsidRPr="0002271A">
        <w:rPr>
          <w:rFonts w:ascii="Calibri" w:hAnsi="Calibri"/>
          <w:lang w:val="de-DE"/>
        </w:rPr>
        <w:lastRenderedPageBreak/>
        <w:t xml:space="preserve">Welche Rolle </w:t>
      </w:r>
      <w:r w:rsidR="00205F9A">
        <w:rPr>
          <w:rFonts w:ascii="Calibri" w:hAnsi="Calibri"/>
          <w:lang w:val="de-DE"/>
        </w:rPr>
        <w:t>nehmen</w:t>
      </w:r>
      <w:r w:rsidRPr="0002271A">
        <w:rPr>
          <w:rFonts w:ascii="Calibri" w:hAnsi="Calibri"/>
          <w:lang w:val="de-DE"/>
        </w:rPr>
        <w:t xml:space="preserve"> Deutschförderung und Sprachliche Bildung in Kindergarten und Schule ein?</w:t>
      </w:r>
    </w:p>
    <w:p w:rsidR="00C14D17" w:rsidRPr="0002271A" w:rsidRDefault="00DA2F37" w:rsidP="00B34DB2">
      <w:pPr>
        <w:numPr>
          <w:ilvl w:val="2"/>
          <w:numId w:val="2"/>
        </w:numPr>
        <w:spacing w:line="276" w:lineRule="auto"/>
        <w:jc w:val="both"/>
        <w:rPr>
          <w:rFonts w:ascii="Calibri" w:hAnsi="Calibri"/>
          <w:lang w:val="de-DE"/>
        </w:rPr>
      </w:pPr>
      <w:r w:rsidRPr="0002271A">
        <w:rPr>
          <w:rFonts w:ascii="Calibri" w:hAnsi="Calibri"/>
          <w:lang w:val="de-DE"/>
        </w:rPr>
        <w:t>Welche Beispiele der Deutschförderung und der Sprachlichen Bildung zur Erhöhung von Bildungsgerechtigkeit existieren bereits?</w:t>
      </w:r>
    </w:p>
    <w:p w:rsidR="00C14D17" w:rsidRPr="0002271A" w:rsidRDefault="00DA2F37" w:rsidP="00B34DB2">
      <w:pPr>
        <w:numPr>
          <w:ilvl w:val="2"/>
          <w:numId w:val="2"/>
        </w:numPr>
        <w:spacing w:line="276" w:lineRule="auto"/>
        <w:jc w:val="both"/>
        <w:rPr>
          <w:rFonts w:ascii="Calibri" w:hAnsi="Calibri"/>
          <w:lang w:val="de-DE"/>
        </w:rPr>
      </w:pPr>
      <w:r w:rsidRPr="0002271A">
        <w:rPr>
          <w:rFonts w:ascii="Calibri" w:hAnsi="Calibri"/>
          <w:lang w:val="de-DE"/>
        </w:rPr>
        <w:t>Inwiefern können Deutschförderung und Sprac</w:t>
      </w:r>
      <w:r w:rsidR="00205F9A">
        <w:rPr>
          <w:rFonts w:ascii="Calibri" w:hAnsi="Calibri"/>
          <w:lang w:val="de-DE"/>
        </w:rPr>
        <w:t>hliche Bildung zu mehr Bildungs</w:t>
      </w:r>
      <w:r w:rsidRPr="0002271A">
        <w:rPr>
          <w:rFonts w:ascii="Calibri" w:hAnsi="Calibri"/>
          <w:lang w:val="de-DE"/>
        </w:rPr>
        <w:t>gerechtigkeit führen?</w:t>
      </w:r>
    </w:p>
    <w:p w:rsidR="00C14D17" w:rsidRPr="0002271A" w:rsidRDefault="00DA2F37" w:rsidP="00B34DB2">
      <w:pPr>
        <w:numPr>
          <w:ilvl w:val="2"/>
          <w:numId w:val="2"/>
        </w:numPr>
        <w:spacing w:line="276" w:lineRule="auto"/>
        <w:jc w:val="both"/>
        <w:rPr>
          <w:rFonts w:ascii="Calibri" w:hAnsi="Calibri"/>
          <w:lang w:val="de-DE"/>
        </w:rPr>
      </w:pPr>
      <w:r w:rsidRPr="0002271A">
        <w:rPr>
          <w:rFonts w:ascii="Calibri" w:hAnsi="Calibri"/>
          <w:lang w:val="de-DE"/>
        </w:rPr>
        <w:t>Welche Implikationen ergeben sich aus aktuellen Forschungsergebnissen für den „Einwanderungskontinent Europa“?</w:t>
      </w:r>
    </w:p>
    <w:p w:rsidR="00C14D17" w:rsidRPr="0002271A" w:rsidRDefault="00DA2F37" w:rsidP="00B34DB2">
      <w:pPr>
        <w:spacing w:line="276" w:lineRule="auto"/>
        <w:jc w:val="both"/>
        <w:rPr>
          <w:rFonts w:ascii="Calibri" w:eastAsia="Avenir Next" w:hAnsi="Calibri" w:cs="Avenir Next"/>
        </w:rPr>
      </w:pPr>
      <w:r w:rsidRPr="0002271A">
        <w:rPr>
          <w:rFonts w:ascii="Calibri" w:hAnsi="Calibri"/>
          <w:lang w:val="de-DE"/>
        </w:rPr>
        <w:t xml:space="preserve">Diese Fragen sollen unter Berücksichtigung von empirischen Daten, konzeptionellen sowie vergleichenden Überlegungen aus den Perspektiven von Deutsch als Zweitsprache, der Sprachwissenschaft, der Bildungswissenschaft und der Mehrsprachigkeitsforschung aufgegriffen und diskutiert werden. </w:t>
      </w:r>
    </w:p>
    <w:p w:rsidR="00C14D17" w:rsidRPr="0002271A" w:rsidRDefault="00C14D17" w:rsidP="00B34DB2">
      <w:pPr>
        <w:spacing w:line="276" w:lineRule="auto"/>
        <w:jc w:val="both"/>
        <w:rPr>
          <w:rFonts w:ascii="Calibri" w:eastAsia="Avenir Next" w:hAnsi="Calibri" w:cs="Avenir Next"/>
          <w:b/>
          <w:bCs/>
        </w:rPr>
      </w:pPr>
    </w:p>
    <w:p w:rsidR="00C14D17" w:rsidRPr="0002271A" w:rsidRDefault="00DA2F37" w:rsidP="00B34DB2">
      <w:pPr>
        <w:spacing w:line="276" w:lineRule="auto"/>
        <w:jc w:val="both"/>
        <w:rPr>
          <w:rFonts w:ascii="Calibri" w:eastAsia="Avenir Next" w:hAnsi="Calibri" w:cs="Avenir Next"/>
          <w:b/>
          <w:bCs/>
        </w:rPr>
      </w:pPr>
      <w:r w:rsidRPr="0002271A">
        <w:rPr>
          <w:rFonts w:ascii="Calibri" w:hAnsi="Calibri"/>
          <w:b/>
          <w:bCs/>
          <w:lang w:val="de-DE"/>
        </w:rPr>
        <w:t>Literatur</w:t>
      </w:r>
    </w:p>
    <w:p w:rsidR="00205F9A" w:rsidRDefault="00DA2F37" w:rsidP="00B34DB2">
      <w:pPr>
        <w:spacing w:line="276" w:lineRule="auto"/>
        <w:jc w:val="both"/>
        <w:rPr>
          <w:rFonts w:ascii="Calibri" w:hAnsi="Calibri"/>
          <w:lang w:val="de-DE"/>
        </w:rPr>
      </w:pPr>
      <w:r w:rsidRPr="0002271A">
        <w:rPr>
          <w:rFonts w:ascii="Calibri" w:hAnsi="Calibri"/>
          <w:lang w:val="de-DE"/>
        </w:rPr>
        <w:t xml:space="preserve">Abteilung Wirtschafts- und Sozialpolitik der Friedrich-Ebert-Stiftung (2010): Expertisen und </w:t>
      </w:r>
    </w:p>
    <w:p w:rsidR="00C14D17" w:rsidRPr="0002271A" w:rsidRDefault="00DA2F37" w:rsidP="00B34DB2">
      <w:pPr>
        <w:spacing w:line="276" w:lineRule="auto"/>
        <w:ind w:left="720"/>
        <w:jc w:val="both"/>
        <w:rPr>
          <w:rFonts w:ascii="Calibri" w:eastAsia="Avenir Next" w:hAnsi="Calibri" w:cs="Avenir Next"/>
        </w:rPr>
      </w:pPr>
      <w:r w:rsidRPr="0002271A">
        <w:rPr>
          <w:rFonts w:ascii="Calibri" w:hAnsi="Calibri"/>
          <w:lang w:val="de-DE"/>
        </w:rPr>
        <w:t xml:space="preserve">Dokumentationen zur Wirtschafts- und Sozialpolitik. Diskurs. </w:t>
      </w:r>
      <w:r w:rsidRPr="0002271A">
        <w:rPr>
          <w:rFonts w:ascii="Calibri" w:hAnsi="Calibri"/>
        </w:rPr>
        <w:t>„</w:t>
      </w:r>
      <w:r w:rsidRPr="0002271A">
        <w:rPr>
          <w:rFonts w:ascii="Calibri" w:hAnsi="Calibri"/>
          <w:lang w:val="de-DE"/>
        </w:rPr>
        <w:t xml:space="preserve">Sprache ist der </w:t>
      </w:r>
      <w:proofErr w:type="spellStart"/>
      <w:r w:rsidRPr="0002271A">
        <w:rPr>
          <w:rFonts w:ascii="Calibri" w:hAnsi="Calibri"/>
          <w:lang w:val="de-DE"/>
        </w:rPr>
        <w:t>Schl</w:t>
      </w:r>
      <w:proofErr w:type="spellEnd"/>
      <w:r w:rsidRPr="0002271A">
        <w:rPr>
          <w:rFonts w:ascii="Calibri" w:hAnsi="Calibri"/>
        </w:rPr>
        <w:t>ü</w:t>
      </w:r>
      <w:proofErr w:type="spellStart"/>
      <w:r w:rsidRPr="0002271A">
        <w:rPr>
          <w:rFonts w:ascii="Calibri" w:hAnsi="Calibri"/>
          <w:lang w:val="de-DE"/>
        </w:rPr>
        <w:t>ssel</w:t>
      </w:r>
      <w:proofErr w:type="spellEnd"/>
      <w:r w:rsidRPr="0002271A">
        <w:rPr>
          <w:rFonts w:ascii="Calibri" w:hAnsi="Calibri"/>
          <w:lang w:val="de-DE"/>
        </w:rPr>
        <w:t xml:space="preserve"> zur Integration</w:t>
      </w:r>
      <w:r w:rsidRPr="0002271A">
        <w:rPr>
          <w:rFonts w:ascii="Calibri" w:hAnsi="Calibri"/>
        </w:rPr>
        <w:t xml:space="preserve">“ </w:t>
      </w:r>
      <w:r w:rsidRPr="0002271A">
        <w:rPr>
          <w:rFonts w:ascii="Calibri" w:hAnsi="Calibri"/>
          <w:lang w:val="de-DE"/>
        </w:rPr>
        <w:t xml:space="preserve">Bedingungen des Sprachlernens von Menschen mit Migrationshintergrund. </w:t>
      </w:r>
      <w:proofErr w:type="spellStart"/>
      <w:r w:rsidRPr="0002271A">
        <w:rPr>
          <w:rFonts w:ascii="Calibri" w:hAnsi="Calibri"/>
          <w:lang w:val="de-DE"/>
        </w:rPr>
        <w:t>Gespr</w:t>
      </w:r>
      <w:proofErr w:type="spellEnd"/>
      <w:r w:rsidRPr="0002271A">
        <w:rPr>
          <w:rFonts w:ascii="Calibri" w:hAnsi="Calibri"/>
        </w:rPr>
        <w:t>ä</w:t>
      </w:r>
      <w:proofErr w:type="spellStart"/>
      <w:r w:rsidRPr="0002271A">
        <w:rPr>
          <w:rFonts w:ascii="Calibri" w:hAnsi="Calibri"/>
          <w:lang w:val="de-DE"/>
        </w:rPr>
        <w:t>chskreis</w:t>
      </w:r>
      <w:proofErr w:type="spellEnd"/>
      <w:r w:rsidRPr="0002271A">
        <w:rPr>
          <w:rFonts w:ascii="Calibri" w:hAnsi="Calibri"/>
          <w:lang w:val="de-DE"/>
        </w:rPr>
        <w:t xml:space="preserve"> Migration und Integration der Friedrich-Ebert-Stiftung.</w:t>
      </w:r>
    </w:p>
    <w:p w:rsidR="00205F9A" w:rsidRDefault="00DA2F37" w:rsidP="00B34DB2">
      <w:pPr>
        <w:spacing w:line="276" w:lineRule="auto"/>
        <w:jc w:val="both"/>
        <w:rPr>
          <w:rFonts w:ascii="Calibri" w:hAnsi="Calibri"/>
          <w:lang w:val="de-DE"/>
        </w:rPr>
      </w:pPr>
      <w:r w:rsidRPr="0002271A">
        <w:rPr>
          <w:rFonts w:ascii="Calibri" w:hAnsi="Calibri"/>
          <w:lang w:val="de-DE"/>
        </w:rPr>
        <w:t xml:space="preserve">Esser, Hartmut (2006): Sprache und Integration: Konzeptionelle Grundlagen und empirische </w:t>
      </w:r>
    </w:p>
    <w:p w:rsidR="00C14D17" w:rsidRPr="0002271A" w:rsidRDefault="00DA2F37" w:rsidP="00B34DB2">
      <w:pPr>
        <w:spacing w:line="276" w:lineRule="auto"/>
        <w:ind w:left="720"/>
        <w:jc w:val="both"/>
        <w:rPr>
          <w:rFonts w:ascii="Calibri" w:eastAsia="Avenir Next" w:hAnsi="Calibri" w:cs="Avenir Next"/>
        </w:rPr>
      </w:pPr>
      <w:proofErr w:type="spellStart"/>
      <w:r w:rsidRPr="0002271A">
        <w:rPr>
          <w:rFonts w:ascii="Calibri" w:hAnsi="Calibri"/>
          <w:lang w:val="de-DE"/>
        </w:rPr>
        <w:t>Zusammenh</w:t>
      </w:r>
      <w:r w:rsidRPr="0002271A">
        <w:rPr>
          <w:rFonts w:ascii="Calibri" w:hAnsi="Calibri"/>
        </w:rPr>
        <w:t>änge</w:t>
      </w:r>
      <w:proofErr w:type="spellEnd"/>
      <w:r w:rsidRPr="0002271A">
        <w:rPr>
          <w:rFonts w:ascii="Calibri" w:hAnsi="Calibri"/>
          <w:lang w:val="de-DE"/>
        </w:rPr>
        <w:t xml:space="preserve">. </w:t>
      </w:r>
      <w:r w:rsidRPr="0002271A">
        <w:rPr>
          <w:rFonts w:ascii="Calibri" w:hAnsi="Calibri"/>
        </w:rPr>
        <w:t>KMI Working Paper Series</w:t>
      </w:r>
      <w:r w:rsidRPr="0002271A">
        <w:rPr>
          <w:rFonts w:ascii="Calibri" w:hAnsi="Calibri"/>
          <w:lang w:val="de-DE"/>
        </w:rPr>
        <w:t>. 7. Kommission f</w:t>
      </w:r>
      <w:r w:rsidRPr="0002271A">
        <w:rPr>
          <w:rFonts w:ascii="Calibri" w:hAnsi="Calibri"/>
        </w:rPr>
        <w:t>ü</w:t>
      </w:r>
      <w:r w:rsidRPr="0002271A">
        <w:rPr>
          <w:rFonts w:ascii="Calibri" w:hAnsi="Calibri"/>
          <w:lang w:val="de-DE"/>
        </w:rPr>
        <w:t xml:space="preserve">r Migrations- und Integrationsforschung. </w:t>
      </w:r>
      <w:r w:rsidRPr="0002271A">
        <w:rPr>
          <w:rFonts w:ascii="Calibri" w:hAnsi="Calibri"/>
        </w:rPr>
        <w:t>Ö</w:t>
      </w:r>
      <w:proofErr w:type="spellStart"/>
      <w:r w:rsidRPr="0002271A">
        <w:rPr>
          <w:rFonts w:ascii="Calibri" w:hAnsi="Calibri"/>
          <w:lang w:val="de-DE"/>
        </w:rPr>
        <w:t>sterreichische</w:t>
      </w:r>
      <w:proofErr w:type="spellEnd"/>
      <w:r w:rsidRPr="0002271A">
        <w:rPr>
          <w:rFonts w:ascii="Calibri" w:hAnsi="Calibri"/>
          <w:lang w:val="de-DE"/>
        </w:rPr>
        <w:t xml:space="preserve"> Akademie der Wissenschaften.</w:t>
      </w:r>
    </w:p>
    <w:p w:rsidR="00205F9A" w:rsidRDefault="00DA2F37" w:rsidP="00B34DB2">
      <w:pPr>
        <w:spacing w:line="276" w:lineRule="auto"/>
        <w:jc w:val="both"/>
        <w:rPr>
          <w:rFonts w:ascii="Calibri" w:hAnsi="Calibri"/>
          <w:lang w:val="de-DE"/>
        </w:rPr>
      </w:pPr>
      <w:r w:rsidRPr="0002271A">
        <w:rPr>
          <w:rFonts w:ascii="Calibri" w:hAnsi="Calibri"/>
          <w:lang w:val="de-DE"/>
        </w:rPr>
        <w:t xml:space="preserve">Herzog-Punzenberger, </w:t>
      </w:r>
      <w:r w:rsidRPr="0002271A">
        <w:rPr>
          <w:rFonts w:ascii="Calibri" w:hAnsi="Calibri"/>
        </w:rPr>
        <w:t>Barbara (</w:t>
      </w:r>
      <w:proofErr w:type="spellStart"/>
      <w:r w:rsidRPr="0002271A">
        <w:rPr>
          <w:rFonts w:ascii="Calibri" w:hAnsi="Calibri"/>
        </w:rPr>
        <w:t>Hg</w:t>
      </w:r>
      <w:proofErr w:type="spellEnd"/>
      <w:r w:rsidRPr="0002271A">
        <w:rPr>
          <w:rFonts w:ascii="Calibri" w:hAnsi="Calibri"/>
        </w:rPr>
        <w:t xml:space="preserve">.) </w:t>
      </w:r>
      <w:r w:rsidRPr="0002271A">
        <w:rPr>
          <w:rFonts w:ascii="Calibri" w:hAnsi="Calibri"/>
          <w:lang w:val="de-DE"/>
        </w:rPr>
        <w:t xml:space="preserve">(2006): </w:t>
      </w:r>
      <w:proofErr w:type="spellStart"/>
      <w:r w:rsidRPr="0002271A">
        <w:rPr>
          <w:rFonts w:ascii="Calibri" w:hAnsi="Calibri"/>
          <w:lang w:val="de-DE"/>
        </w:rPr>
        <w:t>Bildungsbe</w:t>
      </w:r>
      <w:proofErr w:type="spellEnd"/>
      <w:r w:rsidRPr="0002271A">
        <w:rPr>
          <w:rFonts w:ascii="Calibri" w:hAnsi="Calibri"/>
          <w:lang w:val="de-DE"/>
        </w:rPr>
        <w:t>/nach/</w:t>
      </w:r>
      <w:proofErr w:type="spellStart"/>
      <w:r w:rsidRPr="0002271A">
        <w:rPr>
          <w:rFonts w:ascii="Calibri" w:hAnsi="Calibri"/>
          <w:lang w:val="de-DE"/>
        </w:rPr>
        <w:t>teiligung</w:t>
      </w:r>
      <w:proofErr w:type="spellEnd"/>
      <w:r w:rsidRPr="0002271A">
        <w:rPr>
          <w:rFonts w:ascii="Calibri" w:hAnsi="Calibri"/>
          <w:lang w:val="de-DE"/>
        </w:rPr>
        <w:t xml:space="preserve"> in </w:t>
      </w:r>
      <w:r w:rsidRPr="0002271A">
        <w:rPr>
          <w:rFonts w:ascii="Calibri" w:hAnsi="Calibri"/>
        </w:rPr>
        <w:t>Ö</w:t>
      </w:r>
      <w:proofErr w:type="spellStart"/>
      <w:r w:rsidRPr="0002271A">
        <w:rPr>
          <w:rFonts w:ascii="Calibri" w:hAnsi="Calibri"/>
          <w:lang w:val="de-DE"/>
        </w:rPr>
        <w:t>sterreich</w:t>
      </w:r>
      <w:proofErr w:type="spellEnd"/>
      <w:r w:rsidRPr="0002271A">
        <w:rPr>
          <w:rFonts w:ascii="Calibri" w:hAnsi="Calibri"/>
          <w:lang w:val="de-DE"/>
        </w:rPr>
        <w:t xml:space="preserve"> und im internationalen </w:t>
      </w:r>
    </w:p>
    <w:p w:rsidR="00C14D17" w:rsidRPr="00B34DB2" w:rsidRDefault="00DA2F37" w:rsidP="00B34DB2">
      <w:pPr>
        <w:spacing w:line="276" w:lineRule="auto"/>
        <w:ind w:left="720"/>
        <w:jc w:val="both"/>
        <w:rPr>
          <w:rFonts w:ascii="Calibri" w:eastAsia="Avenir Next" w:hAnsi="Calibri" w:cs="Avenir Next"/>
        </w:rPr>
      </w:pPr>
      <w:r w:rsidRPr="0002271A">
        <w:rPr>
          <w:rFonts w:ascii="Calibri" w:hAnsi="Calibri"/>
          <w:lang w:val="de-DE"/>
        </w:rPr>
        <w:t xml:space="preserve">Vergleich. </w:t>
      </w:r>
      <w:r w:rsidRPr="0002271A">
        <w:rPr>
          <w:rFonts w:ascii="Calibri" w:hAnsi="Calibri"/>
        </w:rPr>
        <w:t>KMI Working Paper Series</w:t>
      </w:r>
      <w:r w:rsidRPr="0002271A">
        <w:rPr>
          <w:rFonts w:ascii="Calibri" w:hAnsi="Calibri"/>
          <w:lang w:val="de-DE"/>
        </w:rPr>
        <w:t>. 10. Kommission f</w:t>
      </w:r>
      <w:r w:rsidRPr="0002271A">
        <w:rPr>
          <w:rFonts w:ascii="Calibri" w:hAnsi="Calibri"/>
        </w:rPr>
        <w:t>ü</w:t>
      </w:r>
      <w:r w:rsidRPr="0002271A">
        <w:rPr>
          <w:rFonts w:ascii="Calibri" w:hAnsi="Calibri"/>
          <w:lang w:val="de-DE"/>
        </w:rPr>
        <w:t xml:space="preserve">r Migrations- und Integrationsforschung. </w:t>
      </w:r>
      <w:r w:rsidRPr="0002271A">
        <w:rPr>
          <w:rFonts w:ascii="Calibri" w:hAnsi="Calibri"/>
        </w:rPr>
        <w:t>Ö</w:t>
      </w:r>
      <w:proofErr w:type="spellStart"/>
      <w:r w:rsidRPr="0002271A">
        <w:rPr>
          <w:rFonts w:ascii="Calibri" w:hAnsi="Calibri"/>
          <w:lang w:val="de-DE"/>
        </w:rPr>
        <w:t>sterreichische</w:t>
      </w:r>
      <w:proofErr w:type="spellEnd"/>
      <w:r w:rsidRPr="0002271A">
        <w:rPr>
          <w:rFonts w:ascii="Calibri" w:hAnsi="Calibri"/>
          <w:lang w:val="de-DE"/>
        </w:rPr>
        <w:t xml:space="preserve"> Akademie der Wissenschaften.</w:t>
      </w:r>
    </w:p>
    <w:sectPr w:rsidR="00C14D17" w:rsidRPr="00B34DB2">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4A3" w:rsidRDefault="00EA54A3">
      <w:r>
        <w:separator/>
      </w:r>
    </w:p>
  </w:endnote>
  <w:endnote w:type="continuationSeparator" w:id="0">
    <w:p w:rsidR="00EA54A3" w:rsidRDefault="00EA5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 Next Demi Bold">
    <w:altName w:val="Times New Roman"/>
    <w:charset w:val="00"/>
    <w:family w:val="roman"/>
    <w:pitch w:val="default"/>
  </w:font>
  <w:font w:name="Avenir Next">
    <w:altName w:val="Corbel"/>
    <w:charset w:val="00"/>
    <w:family w:val="swiss"/>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D17" w:rsidRDefault="00205F9A">
    <w:pPr>
      <w:pStyle w:val="Kopf-undFuzeilen"/>
      <w:tabs>
        <w:tab w:val="clear" w:pos="9020"/>
        <w:tab w:val="center" w:pos="4819"/>
        <w:tab w:val="right" w:pos="9638"/>
      </w:tabs>
    </w:pPr>
    <w:r>
      <w:rPr>
        <w:rFonts w:ascii="Avenir Next" w:hAnsi="Avenir Next"/>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4A3" w:rsidRDefault="00EA54A3">
      <w:r>
        <w:separator/>
      </w:r>
    </w:p>
  </w:footnote>
  <w:footnote w:type="continuationSeparator" w:id="0">
    <w:p w:rsidR="00EA54A3" w:rsidRDefault="00EA5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C3C89"/>
    <w:multiLevelType w:val="hybridMultilevel"/>
    <w:tmpl w:val="462C5CC6"/>
    <w:styleLink w:val="Nummeriert"/>
    <w:lvl w:ilvl="0" w:tplc="B288C10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A14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561D4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140F5A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27E0A2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94679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BFA631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041C2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B0068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39327A8"/>
    <w:multiLevelType w:val="hybridMultilevel"/>
    <w:tmpl w:val="0F58E5C6"/>
    <w:styleLink w:val="Punkt"/>
    <w:lvl w:ilvl="0" w:tplc="8E36305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E60C12E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028C183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sz w:val="18"/>
        <w:szCs w:val="18"/>
        <w:highlight w:val="none"/>
        <w:vertAlign w:val="baseline"/>
      </w:rPr>
    </w:lvl>
    <w:lvl w:ilvl="3" w:tplc="BEAC7E4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BF82759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7C38F3E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FE244B3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F2E4DA0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EDBE415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353866E0"/>
    <w:multiLevelType w:val="hybridMultilevel"/>
    <w:tmpl w:val="462C5CC6"/>
    <w:numStyleLink w:val="Nummeriert"/>
  </w:abstractNum>
  <w:abstractNum w:abstractNumId="3" w15:restartNumberingAfterBreak="0">
    <w:nsid w:val="772D4154"/>
    <w:multiLevelType w:val="hybridMultilevel"/>
    <w:tmpl w:val="0F58E5C6"/>
    <w:numStyleLink w:val="Punkt"/>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D17"/>
    <w:rsid w:val="0002271A"/>
    <w:rsid w:val="00205F9A"/>
    <w:rsid w:val="00523DBB"/>
    <w:rsid w:val="00807BE3"/>
    <w:rsid w:val="00B34DB2"/>
    <w:rsid w:val="00C14D17"/>
    <w:rsid w:val="00DA2F37"/>
    <w:rsid w:val="00EA54A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EA762-1B24-4CCB-B4C5-390D43F0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Helvetica" w:eastAsia="Helvetica" w:hAnsi="Helvetica" w:cs="Helvetica"/>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rPr>
      <w:rFonts w:ascii="Helvetica" w:eastAsia="Helvetica" w:hAnsi="Helvetica" w:cs="Helvetica"/>
      <w:color w:val="000000"/>
      <w:sz w:val="22"/>
      <w:szCs w:val="22"/>
    </w:rPr>
  </w:style>
  <w:style w:type="numbering" w:customStyle="1" w:styleId="Punkt">
    <w:name w:val="Punkt"/>
    <w:pPr>
      <w:numPr>
        <w:numId w:val="1"/>
      </w:numPr>
    </w:pPr>
  </w:style>
  <w:style w:type="numbering" w:customStyle="1" w:styleId="Nummeriert">
    <w:name w:val="Nummeriert"/>
    <w:pPr>
      <w:numPr>
        <w:numId w:val="3"/>
      </w:numPr>
    </w:pPr>
  </w:style>
  <w:style w:type="paragraph" w:styleId="Titel">
    <w:name w:val="Title"/>
    <w:next w:val="Text"/>
    <w:pPr>
      <w:keepNext/>
    </w:pPr>
    <w:rPr>
      <w:rFonts w:ascii="Helvetica" w:hAnsi="Helvetica" w:cs="Arial Unicode MS"/>
      <w:b/>
      <w:bCs/>
      <w:color w:val="000000"/>
      <w:sz w:val="60"/>
      <w:szCs w:val="60"/>
      <w:lang w:val="de-DE"/>
    </w:rPr>
  </w:style>
  <w:style w:type="paragraph" w:styleId="Untertitel">
    <w:name w:val="Subtitle"/>
    <w:pPr>
      <w:tabs>
        <w:tab w:val="left" w:pos="1150"/>
      </w:tabs>
    </w:pPr>
    <w:rPr>
      <w:rFonts w:ascii="Helvetica" w:hAnsi="Helvetica" w:cs="Arial Unicode MS"/>
      <w:b/>
      <w:bCs/>
      <w:caps/>
      <w:color w:val="000000"/>
      <w:lang w:val="de-DE"/>
    </w:rPr>
  </w:style>
  <w:style w:type="paragraph" w:customStyle="1" w:styleId="TextA">
    <w:name w:val="Text A"/>
    <w:rPr>
      <w:rFonts w:ascii="Helvetica" w:hAnsi="Helvetica" w:cs="Arial Unicode MS"/>
      <w:color w:val="000000"/>
      <w:sz w:val="22"/>
      <w:szCs w:val="22"/>
      <w:u w:color="000000"/>
      <w:lang w:val="de-DE"/>
    </w:rPr>
  </w:style>
  <w:style w:type="character" w:customStyle="1" w:styleId="Link">
    <w:name w:val="Link"/>
    <w:rPr>
      <w:u w:val="single"/>
    </w:rPr>
  </w:style>
  <w:style w:type="character" w:customStyle="1" w:styleId="Hyperlink0">
    <w:name w:val="Hyperlink.0"/>
    <w:basedOn w:val="Link"/>
    <w:rPr>
      <w:color w:val="0000FF"/>
      <w:u w:val="single" w:color="0000FF"/>
    </w:rPr>
  </w:style>
  <w:style w:type="character" w:customStyle="1" w:styleId="Ohne">
    <w:name w:val="Ohne"/>
  </w:style>
  <w:style w:type="character" w:customStyle="1" w:styleId="Hyperlink1">
    <w:name w:val="Hyperlink.1"/>
    <w:basedOn w:val="Ohne"/>
    <w:rPr>
      <w:color w:val="0068D8"/>
      <w:u w:val="single" w:color="0068D8"/>
    </w:rPr>
  </w:style>
  <w:style w:type="paragraph" w:styleId="Kopfzeile">
    <w:name w:val="header"/>
    <w:basedOn w:val="Standard"/>
    <w:link w:val="KopfzeileZchn"/>
    <w:uiPriority w:val="99"/>
    <w:unhideWhenUsed/>
    <w:rsid w:val="00205F9A"/>
    <w:pPr>
      <w:tabs>
        <w:tab w:val="center" w:pos="4536"/>
        <w:tab w:val="right" w:pos="9072"/>
      </w:tabs>
    </w:pPr>
  </w:style>
  <w:style w:type="character" w:customStyle="1" w:styleId="KopfzeileZchn">
    <w:name w:val="Kopfzeile Zchn"/>
    <w:basedOn w:val="Absatz-Standardschriftart"/>
    <w:link w:val="Kopfzeile"/>
    <w:uiPriority w:val="99"/>
    <w:rsid w:val="00205F9A"/>
    <w:rPr>
      <w:rFonts w:ascii="Helvetica" w:eastAsia="Helvetica" w:hAnsi="Helvetica" w:cs="Helvetica"/>
      <w:color w:val="000000"/>
      <w:sz w:val="22"/>
      <w:szCs w:val="22"/>
    </w:rPr>
  </w:style>
  <w:style w:type="paragraph" w:styleId="Fuzeile">
    <w:name w:val="footer"/>
    <w:basedOn w:val="Standard"/>
    <w:link w:val="FuzeileZchn"/>
    <w:uiPriority w:val="99"/>
    <w:unhideWhenUsed/>
    <w:rsid w:val="00205F9A"/>
    <w:pPr>
      <w:tabs>
        <w:tab w:val="center" w:pos="4536"/>
        <w:tab w:val="right" w:pos="9072"/>
      </w:tabs>
    </w:pPr>
  </w:style>
  <w:style w:type="character" w:customStyle="1" w:styleId="FuzeileZchn">
    <w:name w:val="Fußzeile Zchn"/>
    <w:basedOn w:val="Absatz-Standardschriftart"/>
    <w:link w:val="Fuzeile"/>
    <w:uiPriority w:val="99"/>
    <w:rsid w:val="00205F9A"/>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4655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Universitaet Wien</Company>
  <LinksUpToDate>false</LinksUpToDate>
  <CharactersWithSpaces>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Apostle, Katharine Anne</cp:lastModifiedBy>
  <cp:revision>5</cp:revision>
  <dcterms:created xsi:type="dcterms:W3CDTF">2018-08-22T07:47:00Z</dcterms:created>
  <dcterms:modified xsi:type="dcterms:W3CDTF">2018-09-18T15:24:00Z</dcterms:modified>
</cp:coreProperties>
</file>