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B7366" w14:textId="4348FBBA" w:rsidR="003120C7" w:rsidRPr="008D35B3" w:rsidRDefault="003120C7" w:rsidP="008D35B3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</w:rPr>
      </w:pPr>
      <w:r w:rsidRPr="008D35B3">
        <w:rPr>
          <w:rFonts w:ascii="Calibri" w:hAnsi="Calibri" w:cs="Times New Roman"/>
          <w:b/>
          <w:sz w:val="22"/>
          <w:szCs w:val="22"/>
        </w:rPr>
        <w:t xml:space="preserve">Voluntary Disenfranchisement, Forced Migration, and </w:t>
      </w:r>
      <w:r w:rsidR="002D76E2" w:rsidRPr="008D35B3">
        <w:rPr>
          <w:rFonts w:ascii="Calibri" w:hAnsi="Calibri" w:cs="Times New Roman"/>
          <w:b/>
          <w:sz w:val="22"/>
          <w:szCs w:val="22"/>
        </w:rPr>
        <w:t xml:space="preserve">the Laws of </w:t>
      </w:r>
      <w:r w:rsidRPr="008D35B3">
        <w:rPr>
          <w:rFonts w:ascii="Calibri" w:hAnsi="Calibri" w:cs="Times New Roman"/>
          <w:b/>
          <w:sz w:val="22"/>
          <w:szCs w:val="22"/>
        </w:rPr>
        <w:t>(Self-</w:t>
      </w:r>
      <w:proofErr w:type="gramStart"/>
      <w:r w:rsidRPr="008D35B3">
        <w:rPr>
          <w:rFonts w:ascii="Calibri" w:hAnsi="Calibri" w:cs="Times New Roman"/>
          <w:b/>
          <w:sz w:val="22"/>
          <w:szCs w:val="22"/>
        </w:rPr>
        <w:t>)</w:t>
      </w:r>
      <w:bookmarkStart w:id="0" w:name="_GoBack"/>
      <w:bookmarkEnd w:id="0"/>
      <w:r w:rsidRPr="008D35B3">
        <w:rPr>
          <w:rFonts w:ascii="Calibri" w:hAnsi="Calibri" w:cs="Times New Roman"/>
          <w:b/>
          <w:sz w:val="22"/>
          <w:szCs w:val="22"/>
        </w:rPr>
        <w:t>Ownership</w:t>
      </w:r>
      <w:proofErr w:type="gramEnd"/>
      <w:r w:rsidR="00D54424" w:rsidRPr="008D35B3">
        <w:rPr>
          <w:rFonts w:ascii="Calibri" w:hAnsi="Calibri" w:cs="Times New Roman"/>
          <w:sz w:val="22"/>
          <w:szCs w:val="22"/>
        </w:rPr>
        <w:t xml:space="preserve">: </w:t>
      </w:r>
      <w:r w:rsidR="00A54816" w:rsidRPr="008D35B3">
        <w:rPr>
          <w:rFonts w:ascii="Calibri" w:hAnsi="Calibri" w:cs="Times New Roman"/>
          <w:b/>
          <w:sz w:val="22"/>
          <w:szCs w:val="22"/>
        </w:rPr>
        <w:t xml:space="preserve">Tackling </w:t>
      </w:r>
      <w:r w:rsidRPr="008D35B3">
        <w:rPr>
          <w:rFonts w:ascii="Calibri" w:hAnsi="Calibri" w:cs="Times New Roman"/>
          <w:b/>
          <w:sz w:val="22"/>
          <w:szCs w:val="22"/>
        </w:rPr>
        <w:t>Hegemonic Concepts of Decision-Making in Migration Theory and Practice</w:t>
      </w:r>
    </w:p>
    <w:p w14:paraId="0706E6D3" w14:textId="77777777" w:rsidR="002D76E2" w:rsidRDefault="002D76E2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483093A5" w14:textId="6D0BE9DF" w:rsidR="008D35B3" w:rsidRDefault="008D35B3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proofErr w:type="spellStart"/>
      <w:r w:rsidRPr="008D35B3">
        <w:rPr>
          <w:rFonts w:ascii="Calibri" w:hAnsi="Calibri" w:cs="Times New Roman"/>
          <w:b/>
          <w:sz w:val="22"/>
          <w:szCs w:val="22"/>
        </w:rPr>
        <w:t>Organiser</w:t>
      </w:r>
      <w:proofErr w:type="spellEnd"/>
      <w:r w:rsidRPr="008D35B3">
        <w:rPr>
          <w:rFonts w:ascii="Calibri" w:hAnsi="Calibri" w:cs="Times New Roman"/>
          <w:sz w:val="22"/>
          <w:szCs w:val="22"/>
        </w:rPr>
        <w:t>: Gün Güley</w:t>
      </w:r>
      <w:r w:rsidR="00363CEF" w:rsidRPr="00363CEF">
        <w:rPr>
          <w:rFonts w:ascii="Calibri" w:hAnsi="Calibri" w:cs="Times New Roman"/>
          <w:sz w:val="22"/>
          <w:szCs w:val="22"/>
        </w:rPr>
        <w:t>, PhD Fellow (Political Theory) at Hamburg University</w:t>
      </w:r>
    </w:p>
    <w:p w14:paraId="7D1809EB" w14:textId="77777777" w:rsidR="00F76053" w:rsidRPr="008D35B3" w:rsidRDefault="00F76053" w:rsidP="008D35B3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</w:rPr>
      </w:pPr>
    </w:p>
    <w:p w14:paraId="0A9CED26" w14:textId="3A0A66D3" w:rsidR="008D35B3" w:rsidRDefault="008D35B3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8D35B3">
        <w:rPr>
          <w:rFonts w:ascii="Calibri" w:hAnsi="Calibri" w:cs="Times New Roman"/>
          <w:b/>
          <w:sz w:val="22"/>
          <w:szCs w:val="22"/>
        </w:rPr>
        <w:t>Moderator</w:t>
      </w:r>
      <w:r w:rsidRPr="008D35B3">
        <w:rPr>
          <w:rFonts w:ascii="Calibri" w:hAnsi="Calibri" w:cs="Times New Roman"/>
          <w:sz w:val="22"/>
          <w:szCs w:val="22"/>
        </w:rPr>
        <w:t>: NN</w:t>
      </w:r>
    </w:p>
    <w:p w14:paraId="1E416A98" w14:textId="77777777" w:rsidR="00F76053" w:rsidRPr="008D35B3" w:rsidRDefault="00F76053" w:rsidP="008D35B3">
      <w:pPr>
        <w:spacing w:line="276" w:lineRule="auto"/>
        <w:jc w:val="both"/>
        <w:rPr>
          <w:rFonts w:ascii="Calibri" w:hAnsi="Calibri" w:cs="Times New Roman"/>
          <w:b/>
          <w:sz w:val="22"/>
          <w:szCs w:val="22"/>
        </w:rPr>
      </w:pPr>
    </w:p>
    <w:p w14:paraId="7AAF5A83" w14:textId="77777777" w:rsidR="008D35B3" w:rsidRPr="008D35B3" w:rsidRDefault="008D35B3" w:rsidP="008D35B3">
      <w:pPr>
        <w:spacing w:line="276" w:lineRule="auto"/>
        <w:jc w:val="both"/>
        <w:rPr>
          <w:rFonts w:ascii="Calibri" w:hAnsi="Calibri" w:cs="Times New Roman"/>
          <w:b/>
          <w:iCs/>
          <w:sz w:val="22"/>
          <w:szCs w:val="22"/>
        </w:rPr>
      </w:pPr>
      <w:r w:rsidRPr="008D35B3">
        <w:rPr>
          <w:rFonts w:ascii="Calibri" w:hAnsi="Calibri" w:cs="Times New Roman"/>
          <w:b/>
          <w:sz w:val="22"/>
          <w:szCs w:val="22"/>
        </w:rPr>
        <w:t>Discussant</w:t>
      </w:r>
      <w:r w:rsidRPr="008D35B3">
        <w:rPr>
          <w:rFonts w:ascii="Calibri" w:hAnsi="Calibri" w:cs="Times New Roman"/>
          <w:sz w:val="22"/>
          <w:szCs w:val="22"/>
        </w:rPr>
        <w:t xml:space="preserve">: Dr. </w:t>
      </w:r>
      <w:proofErr w:type="spellStart"/>
      <w:r w:rsidRPr="008D35B3">
        <w:rPr>
          <w:rFonts w:ascii="Calibri" w:hAnsi="Calibri" w:cs="Times New Roman"/>
          <w:sz w:val="22"/>
          <w:szCs w:val="22"/>
        </w:rPr>
        <w:t>Martijn</w:t>
      </w:r>
      <w:proofErr w:type="spellEnd"/>
      <w:r w:rsidRPr="008D35B3">
        <w:rPr>
          <w:rFonts w:ascii="Calibri" w:hAnsi="Calibri" w:cs="Times New Roman"/>
          <w:sz w:val="22"/>
          <w:szCs w:val="22"/>
        </w:rPr>
        <w:t xml:space="preserve"> Van den Brink, Post-Doctoral Fellow at the </w:t>
      </w:r>
      <w:r w:rsidRPr="008D35B3">
        <w:rPr>
          <w:rFonts w:ascii="Calibri" w:hAnsi="Calibri" w:cs="Times New Roman"/>
          <w:iCs/>
          <w:sz w:val="22"/>
          <w:szCs w:val="22"/>
        </w:rPr>
        <w:t xml:space="preserve">Max Planck Institute for the Study of Religious and Ethnic Diversity (Law), </w:t>
      </w:r>
      <w:proofErr w:type="spellStart"/>
      <w:r w:rsidRPr="008D35B3">
        <w:rPr>
          <w:rFonts w:ascii="Calibri" w:hAnsi="Calibri" w:cs="Times New Roman"/>
          <w:iCs/>
          <w:sz w:val="22"/>
          <w:szCs w:val="22"/>
        </w:rPr>
        <w:t>Göttingen</w:t>
      </w:r>
      <w:proofErr w:type="spellEnd"/>
    </w:p>
    <w:p w14:paraId="69C15C9A" w14:textId="3C176F30" w:rsidR="008D35B3" w:rsidRDefault="008D35B3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1BB9DCAF" w14:textId="77777777" w:rsidR="00F76053" w:rsidRPr="008D35B3" w:rsidRDefault="00F76053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46844D28" w14:textId="53EDA427" w:rsidR="00786215" w:rsidRPr="008D35B3" w:rsidRDefault="00E10C1A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8D35B3">
        <w:rPr>
          <w:rFonts w:ascii="Calibri" w:hAnsi="Calibri" w:cs="Times New Roman"/>
          <w:sz w:val="22"/>
          <w:szCs w:val="22"/>
        </w:rPr>
        <w:t>From the faculties of normative political theory to the processing</w:t>
      </w:r>
      <w:r w:rsidR="001D599F" w:rsidRPr="008D35B3">
        <w:rPr>
          <w:rFonts w:ascii="Calibri" w:hAnsi="Calibri" w:cs="Times New Roman"/>
          <w:sz w:val="22"/>
          <w:szCs w:val="22"/>
        </w:rPr>
        <w:t xml:space="preserve"> centers</w:t>
      </w:r>
      <w:r w:rsidRPr="008D35B3">
        <w:rPr>
          <w:rFonts w:ascii="Calibri" w:hAnsi="Calibri" w:cs="Times New Roman"/>
          <w:sz w:val="22"/>
          <w:szCs w:val="22"/>
        </w:rPr>
        <w:t xml:space="preserve"> of </w:t>
      </w:r>
      <w:r w:rsidR="00F57485" w:rsidRPr="008D35B3">
        <w:rPr>
          <w:rFonts w:ascii="Calibri" w:hAnsi="Calibri" w:cs="Times New Roman"/>
          <w:sz w:val="22"/>
          <w:szCs w:val="22"/>
        </w:rPr>
        <w:t>migration</w:t>
      </w:r>
      <w:r w:rsidRPr="008D35B3">
        <w:rPr>
          <w:rFonts w:ascii="Calibri" w:hAnsi="Calibri" w:cs="Times New Roman"/>
          <w:sz w:val="22"/>
          <w:szCs w:val="22"/>
        </w:rPr>
        <w:t xml:space="preserve"> law in practice, the idea that we can understand migration through the primary lens of voluntariness has become hegemonic. </w:t>
      </w:r>
      <w:r w:rsidR="005664A0" w:rsidRPr="008D35B3">
        <w:rPr>
          <w:rFonts w:ascii="Calibri" w:hAnsi="Calibri" w:cs="Times New Roman"/>
          <w:sz w:val="22"/>
          <w:szCs w:val="22"/>
        </w:rPr>
        <w:t>The UN Convention on the Rights of Migrants def</w:t>
      </w:r>
      <w:r w:rsidR="00F57485" w:rsidRPr="008D35B3">
        <w:rPr>
          <w:rFonts w:ascii="Calibri" w:hAnsi="Calibri" w:cs="Times New Roman"/>
          <w:sz w:val="22"/>
          <w:szCs w:val="22"/>
        </w:rPr>
        <w:t>ines them</w:t>
      </w:r>
      <w:r w:rsidR="005664A0" w:rsidRPr="008D35B3">
        <w:rPr>
          <w:rFonts w:ascii="Calibri" w:hAnsi="Calibri" w:cs="Times New Roman"/>
          <w:sz w:val="22"/>
          <w:szCs w:val="22"/>
        </w:rPr>
        <w:t xml:space="preserve"> as “to be understood as covering all cases where the decision to migrate is taken freely by the individual concerned, for reasons of ‘personal convenience’ and without intervention o</w:t>
      </w:r>
      <w:r w:rsidRPr="008D35B3">
        <w:rPr>
          <w:rFonts w:ascii="Calibri" w:hAnsi="Calibri" w:cs="Times New Roman"/>
          <w:sz w:val="22"/>
          <w:szCs w:val="22"/>
        </w:rPr>
        <w:t>f an external compelling factor</w:t>
      </w:r>
      <w:r w:rsidR="005664A0" w:rsidRPr="008D35B3">
        <w:rPr>
          <w:rFonts w:ascii="Calibri" w:hAnsi="Calibri" w:cs="Times New Roman"/>
          <w:sz w:val="22"/>
          <w:szCs w:val="22"/>
        </w:rPr>
        <w:t xml:space="preserve">” (Commission of Human Rights, </w:t>
      </w:r>
      <w:r w:rsidRPr="008D35B3">
        <w:rPr>
          <w:rFonts w:ascii="Calibri" w:hAnsi="Calibri" w:cs="Times New Roman"/>
          <w:sz w:val="22"/>
          <w:szCs w:val="22"/>
        </w:rPr>
        <w:t>1998).</w:t>
      </w:r>
      <w:r w:rsidR="00A55185" w:rsidRPr="008D35B3">
        <w:rPr>
          <w:rFonts w:ascii="Calibri" w:hAnsi="Calibri" w:cs="Times New Roman"/>
          <w:sz w:val="22"/>
          <w:szCs w:val="22"/>
        </w:rPr>
        <w:t xml:space="preserve"> A report commissioned by the U.S. Census Bureau asserts that although assessing the voluntariness of migrants is not always easy, “</w:t>
      </w:r>
      <w:r w:rsidR="00A55185" w:rsidRPr="008D35B3">
        <w:rPr>
          <w:rFonts w:ascii="Calibri" w:hAnsi="Calibri" w:cs="Times New Roman"/>
          <w:sz w:val="22"/>
          <w:szCs w:val="22"/>
        </w:rPr>
        <w:sym w:font="Symbol" w:char="F05B"/>
      </w:r>
      <w:proofErr w:type="spellStart"/>
      <w:r w:rsidR="00A55185" w:rsidRPr="008D35B3">
        <w:rPr>
          <w:rFonts w:ascii="Calibri" w:hAnsi="Calibri" w:cs="Times New Roman"/>
          <w:sz w:val="22"/>
          <w:szCs w:val="22"/>
        </w:rPr>
        <w:t>i</w:t>
      </w:r>
      <w:proofErr w:type="spellEnd"/>
      <w:r w:rsidR="00A55185" w:rsidRPr="008D35B3">
        <w:rPr>
          <w:rFonts w:ascii="Calibri" w:hAnsi="Calibri" w:cs="Times New Roman"/>
          <w:sz w:val="22"/>
          <w:szCs w:val="22"/>
        </w:rPr>
        <w:sym w:font="Symbol" w:char="F05D"/>
      </w:r>
      <w:proofErr w:type="spellStart"/>
      <w:r w:rsidR="00A55185" w:rsidRPr="008D35B3">
        <w:rPr>
          <w:rFonts w:ascii="Calibri" w:hAnsi="Calibri" w:cs="Times New Roman"/>
          <w:sz w:val="22"/>
          <w:szCs w:val="22"/>
        </w:rPr>
        <w:t>nvoluntary</w:t>
      </w:r>
      <w:proofErr w:type="spellEnd"/>
      <w:r w:rsidR="00A55185" w:rsidRPr="008D35B3">
        <w:rPr>
          <w:rFonts w:ascii="Calibri" w:hAnsi="Calibri" w:cs="Times New Roman"/>
          <w:sz w:val="22"/>
          <w:szCs w:val="22"/>
        </w:rPr>
        <w:t xml:space="preserve"> and voluntary migrants represent a dichotomy of international migration” and “all foreign-born people can be classified as either involuntary</w:t>
      </w:r>
      <w:r w:rsidR="00F76053">
        <w:rPr>
          <w:rFonts w:ascii="Calibri" w:hAnsi="Calibri" w:cs="Times New Roman"/>
          <w:sz w:val="22"/>
          <w:szCs w:val="22"/>
        </w:rPr>
        <w:t xml:space="preserve"> or voluntary migrants” (2000).</w:t>
      </w:r>
    </w:p>
    <w:p w14:paraId="5C90DCC2" w14:textId="1D4C8F5B" w:rsidR="003E7608" w:rsidRPr="008D35B3" w:rsidRDefault="00A55185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8D35B3">
        <w:rPr>
          <w:rFonts w:ascii="Calibri" w:hAnsi="Calibri" w:cs="Times New Roman"/>
          <w:sz w:val="22"/>
          <w:szCs w:val="22"/>
        </w:rPr>
        <w:t>In the</w:t>
      </w:r>
      <w:r w:rsidR="00EA2A26" w:rsidRPr="008D35B3">
        <w:rPr>
          <w:rFonts w:ascii="Calibri" w:hAnsi="Calibri" w:cs="Times New Roman"/>
          <w:sz w:val="22"/>
          <w:szCs w:val="22"/>
        </w:rPr>
        <w:t xml:space="preserve"> social sciences</w:t>
      </w:r>
      <w:r w:rsidR="00E10C1A" w:rsidRPr="008D35B3">
        <w:rPr>
          <w:rFonts w:ascii="Calibri" w:hAnsi="Calibri" w:cs="Times New Roman"/>
          <w:sz w:val="22"/>
          <w:szCs w:val="22"/>
        </w:rPr>
        <w:t xml:space="preserve"> </w:t>
      </w:r>
      <w:r w:rsidRPr="008D35B3">
        <w:rPr>
          <w:rFonts w:ascii="Calibri" w:hAnsi="Calibri" w:cs="Times New Roman"/>
          <w:sz w:val="22"/>
          <w:szCs w:val="22"/>
        </w:rPr>
        <w:t xml:space="preserve">a large number of studies </w:t>
      </w:r>
      <w:r w:rsidR="00E10C1A" w:rsidRPr="008D35B3">
        <w:rPr>
          <w:rFonts w:ascii="Calibri" w:hAnsi="Calibri" w:cs="Times New Roman"/>
          <w:sz w:val="22"/>
          <w:szCs w:val="22"/>
        </w:rPr>
        <w:t>distinguish</w:t>
      </w:r>
      <w:r w:rsidRPr="008D35B3">
        <w:rPr>
          <w:rFonts w:ascii="Calibri" w:hAnsi="Calibri" w:cs="Times New Roman"/>
          <w:sz w:val="22"/>
          <w:szCs w:val="22"/>
        </w:rPr>
        <w:t>es</w:t>
      </w:r>
      <w:r w:rsidR="00E10C1A" w:rsidRPr="008D35B3">
        <w:rPr>
          <w:rFonts w:ascii="Calibri" w:hAnsi="Calibri" w:cs="Times New Roman"/>
          <w:sz w:val="22"/>
          <w:szCs w:val="22"/>
        </w:rPr>
        <w:t xml:space="preserve"> voluntary migration and reluctant migration from involuntary migration, attempting to assess and predict flows of migrants by the push-factors that compel migrants to leave their countries of origin or the pull-factors that make places attractive destinations for </w:t>
      </w:r>
      <w:r w:rsidR="00EA2A26" w:rsidRPr="008D35B3">
        <w:rPr>
          <w:rFonts w:ascii="Calibri" w:hAnsi="Calibri" w:cs="Times New Roman"/>
          <w:sz w:val="22"/>
          <w:szCs w:val="22"/>
        </w:rPr>
        <w:t xml:space="preserve">them (Castles 2000). </w:t>
      </w:r>
      <w:r w:rsidR="001D599F" w:rsidRPr="008D35B3">
        <w:rPr>
          <w:rFonts w:ascii="Calibri" w:hAnsi="Calibri" w:cs="Times New Roman"/>
          <w:sz w:val="22"/>
          <w:szCs w:val="22"/>
        </w:rPr>
        <w:t>In legal debates</w:t>
      </w:r>
      <w:r w:rsidR="008D35B3">
        <w:rPr>
          <w:rFonts w:ascii="Calibri" w:hAnsi="Calibri" w:cs="Times New Roman"/>
          <w:sz w:val="22"/>
          <w:szCs w:val="22"/>
        </w:rPr>
        <w:t>,</w:t>
      </w:r>
      <w:r w:rsidR="001D599F" w:rsidRPr="008D35B3">
        <w:rPr>
          <w:rFonts w:ascii="Calibri" w:hAnsi="Calibri" w:cs="Times New Roman"/>
          <w:sz w:val="22"/>
          <w:szCs w:val="22"/>
        </w:rPr>
        <w:t xml:space="preserve"> scholars</w:t>
      </w:r>
      <w:r w:rsidR="00EA2A26" w:rsidRPr="008D35B3">
        <w:rPr>
          <w:rFonts w:ascii="Calibri" w:hAnsi="Calibri" w:cs="Times New Roman"/>
          <w:sz w:val="22"/>
          <w:szCs w:val="22"/>
        </w:rPr>
        <w:t xml:space="preserve"> insist on differentiating </w:t>
      </w:r>
      <w:r w:rsidR="008D35B3">
        <w:rPr>
          <w:rFonts w:ascii="Calibri" w:hAnsi="Calibri" w:cs="Times New Roman"/>
          <w:sz w:val="22"/>
          <w:szCs w:val="22"/>
        </w:rPr>
        <w:t xml:space="preserve">between </w:t>
      </w:r>
      <w:r w:rsidR="00EA2A26" w:rsidRPr="008D35B3">
        <w:rPr>
          <w:rFonts w:ascii="Calibri" w:hAnsi="Calibri" w:cs="Times New Roman"/>
          <w:sz w:val="22"/>
          <w:szCs w:val="22"/>
        </w:rPr>
        <w:t xml:space="preserve">the broader category of migrants </w:t>
      </w:r>
      <w:r w:rsidR="008D35B3">
        <w:rPr>
          <w:rFonts w:ascii="Calibri" w:hAnsi="Calibri" w:cs="Times New Roman"/>
          <w:sz w:val="22"/>
          <w:szCs w:val="22"/>
        </w:rPr>
        <w:t>and</w:t>
      </w:r>
      <w:r w:rsidR="00EA2A26" w:rsidRPr="008D35B3">
        <w:rPr>
          <w:rFonts w:ascii="Calibri" w:hAnsi="Calibri" w:cs="Times New Roman"/>
          <w:sz w:val="22"/>
          <w:szCs w:val="22"/>
        </w:rPr>
        <w:t xml:space="preserve"> refugees in order to ground claims of special protection and the right to remain or support the sovereign rights of nations to refuse entry (Schuster 2015, </w:t>
      </w:r>
      <w:proofErr w:type="spellStart"/>
      <w:r w:rsidR="00EA2A26" w:rsidRPr="008D35B3">
        <w:rPr>
          <w:rFonts w:ascii="Calibri" w:hAnsi="Calibri" w:cs="Times New Roman"/>
          <w:sz w:val="22"/>
          <w:szCs w:val="22"/>
        </w:rPr>
        <w:t>Scheel</w:t>
      </w:r>
      <w:proofErr w:type="spellEnd"/>
      <w:r w:rsidR="00EA2A26" w:rsidRPr="008D35B3">
        <w:rPr>
          <w:rFonts w:ascii="Calibri" w:hAnsi="Calibri" w:cs="Times New Roman"/>
          <w:sz w:val="22"/>
          <w:szCs w:val="22"/>
        </w:rPr>
        <w:t xml:space="preserve">, </w:t>
      </w:r>
      <w:proofErr w:type="spellStart"/>
      <w:proofErr w:type="gramStart"/>
      <w:r w:rsidR="00EA2A26" w:rsidRPr="008D35B3">
        <w:rPr>
          <w:rFonts w:ascii="Calibri" w:hAnsi="Calibri" w:cs="Times New Roman"/>
          <w:sz w:val="22"/>
          <w:szCs w:val="22"/>
        </w:rPr>
        <w:t>Ratfisch</w:t>
      </w:r>
      <w:proofErr w:type="spellEnd"/>
      <w:proofErr w:type="gramEnd"/>
      <w:r w:rsidR="00EA2A26" w:rsidRPr="008D35B3">
        <w:rPr>
          <w:rFonts w:ascii="Calibri" w:hAnsi="Calibri" w:cs="Times New Roman"/>
          <w:sz w:val="22"/>
          <w:szCs w:val="22"/>
        </w:rPr>
        <w:t xml:space="preserve"> </w:t>
      </w:r>
      <w:r w:rsidR="00E4201E" w:rsidRPr="008D35B3">
        <w:rPr>
          <w:rFonts w:ascii="Calibri" w:hAnsi="Calibri" w:cs="Times New Roman"/>
          <w:sz w:val="22"/>
          <w:szCs w:val="22"/>
        </w:rPr>
        <w:t>2014). Qualitative studies show that public opinion</w:t>
      </w:r>
      <w:r w:rsidR="001D599F" w:rsidRPr="008D35B3">
        <w:rPr>
          <w:rFonts w:ascii="Calibri" w:hAnsi="Calibri" w:cs="Times New Roman"/>
          <w:sz w:val="22"/>
          <w:szCs w:val="22"/>
        </w:rPr>
        <w:t xml:space="preserve"> in the Netherlands, for example,</w:t>
      </w:r>
      <w:r w:rsidR="00E4201E" w:rsidRPr="008D35B3">
        <w:rPr>
          <w:rFonts w:ascii="Calibri" w:hAnsi="Calibri" w:cs="Times New Roman"/>
          <w:sz w:val="22"/>
          <w:szCs w:val="22"/>
        </w:rPr>
        <w:t xml:space="preserve"> is favorable towards the support of involuntary migrants </w:t>
      </w:r>
      <w:proofErr w:type="gramStart"/>
      <w:r w:rsidR="00E4201E" w:rsidRPr="008D35B3">
        <w:rPr>
          <w:rFonts w:ascii="Calibri" w:hAnsi="Calibri" w:cs="Times New Roman"/>
          <w:sz w:val="22"/>
          <w:szCs w:val="22"/>
        </w:rPr>
        <w:t>on the basis of</w:t>
      </w:r>
      <w:proofErr w:type="gramEnd"/>
      <w:r w:rsidR="00E4201E" w:rsidRPr="008D35B3">
        <w:rPr>
          <w:rFonts w:ascii="Calibri" w:hAnsi="Calibri" w:cs="Times New Roman"/>
          <w:sz w:val="22"/>
          <w:szCs w:val="22"/>
        </w:rPr>
        <w:t xml:space="preserve"> empathy and less favorable towards those perceived as voluntary migrants on the basis of feelings of anger (</w:t>
      </w:r>
      <w:proofErr w:type="spellStart"/>
      <w:r w:rsidR="00E4201E" w:rsidRPr="008D35B3">
        <w:rPr>
          <w:rFonts w:ascii="Calibri" w:hAnsi="Calibri" w:cs="Times New Roman"/>
          <w:sz w:val="22"/>
          <w:szCs w:val="22"/>
        </w:rPr>
        <w:t>Verkuyten</w:t>
      </w:r>
      <w:proofErr w:type="spellEnd"/>
      <w:r w:rsidR="00E4201E" w:rsidRPr="008D35B3">
        <w:rPr>
          <w:rFonts w:ascii="Calibri" w:hAnsi="Calibri" w:cs="Times New Roman"/>
          <w:sz w:val="22"/>
          <w:szCs w:val="22"/>
        </w:rPr>
        <w:t xml:space="preserve"> 2017). </w:t>
      </w:r>
      <w:proofErr w:type="gramStart"/>
      <w:r w:rsidRPr="008D35B3">
        <w:rPr>
          <w:rFonts w:ascii="Calibri" w:hAnsi="Calibri" w:cs="Times New Roman"/>
          <w:sz w:val="22"/>
          <w:szCs w:val="22"/>
        </w:rPr>
        <w:t>On the basis of</w:t>
      </w:r>
      <w:proofErr w:type="gramEnd"/>
      <w:r w:rsidRPr="008D35B3">
        <w:rPr>
          <w:rFonts w:ascii="Calibri" w:hAnsi="Calibri" w:cs="Times New Roman"/>
          <w:sz w:val="22"/>
          <w:szCs w:val="22"/>
        </w:rPr>
        <w:t xml:space="preserve"> the assumption of voluntariness, liberal nationalists like Miller defend sovereign nation-states’ rights to exclude</w:t>
      </w:r>
      <w:r w:rsidR="008F387A" w:rsidRPr="008D35B3">
        <w:rPr>
          <w:rFonts w:ascii="Calibri" w:hAnsi="Calibri" w:cs="Times New Roman"/>
          <w:sz w:val="22"/>
          <w:szCs w:val="22"/>
        </w:rPr>
        <w:t>. Social and political theorist Bauböck argues that</w:t>
      </w:r>
      <w:r w:rsidR="001D599F" w:rsidRPr="008D35B3">
        <w:rPr>
          <w:rFonts w:ascii="Calibri" w:hAnsi="Calibri" w:cs="Times New Roman"/>
          <w:sz w:val="22"/>
          <w:szCs w:val="22"/>
        </w:rPr>
        <w:t>,</w:t>
      </w:r>
      <w:r w:rsidR="008F387A" w:rsidRPr="008D35B3">
        <w:rPr>
          <w:rFonts w:ascii="Calibri" w:hAnsi="Calibri" w:cs="Times New Roman"/>
          <w:sz w:val="22"/>
          <w:szCs w:val="22"/>
        </w:rPr>
        <w:t xml:space="preserve"> if inclusive naturalization laws are in place, the disenfranchisement of permanent, legal non-citizen residents is not a problem of</w:t>
      </w:r>
      <w:r w:rsidR="008D35B3">
        <w:rPr>
          <w:rFonts w:ascii="Calibri" w:hAnsi="Calibri" w:cs="Times New Roman"/>
          <w:sz w:val="22"/>
          <w:szCs w:val="22"/>
        </w:rPr>
        <w:t xml:space="preserve"> justice</w:t>
      </w:r>
      <w:r w:rsidR="008F387A" w:rsidRPr="008D35B3">
        <w:rPr>
          <w:rFonts w:ascii="Calibri" w:hAnsi="Calibri" w:cs="Times New Roman"/>
          <w:sz w:val="22"/>
          <w:szCs w:val="22"/>
        </w:rPr>
        <w:t xml:space="preserve"> because their decision not to naturalize can be seen as a voluntary </w:t>
      </w:r>
      <w:r w:rsidR="00F76053">
        <w:rPr>
          <w:rFonts w:ascii="Calibri" w:hAnsi="Calibri" w:cs="Times New Roman"/>
          <w:sz w:val="22"/>
          <w:szCs w:val="22"/>
        </w:rPr>
        <w:t>rejection of the right to vote.</w:t>
      </w:r>
    </w:p>
    <w:p w14:paraId="3C71E787" w14:textId="1D245AEC" w:rsidR="00CE31F1" w:rsidRPr="008D35B3" w:rsidRDefault="00A55185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8D35B3">
        <w:rPr>
          <w:rFonts w:ascii="Calibri" w:hAnsi="Calibri" w:cs="Times New Roman"/>
          <w:sz w:val="22"/>
          <w:szCs w:val="22"/>
        </w:rPr>
        <w:t>All these examples from different</w:t>
      </w:r>
      <w:r w:rsidR="00786215" w:rsidRPr="008D35B3">
        <w:rPr>
          <w:rFonts w:ascii="Calibri" w:hAnsi="Calibri" w:cs="Times New Roman"/>
          <w:sz w:val="22"/>
          <w:szCs w:val="22"/>
        </w:rPr>
        <w:t xml:space="preserve"> disciplinary perspectives illuminate</w:t>
      </w:r>
      <w:r w:rsidR="008D35B3">
        <w:rPr>
          <w:rFonts w:ascii="Calibri" w:hAnsi="Calibri" w:cs="Times New Roman"/>
          <w:sz w:val="22"/>
          <w:szCs w:val="22"/>
        </w:rPr>
        <w:t>,</w:t>
      </w:r>
      <w:r w:rsidR="00786215" w:rsidRPr="008D35B3">
        <w:rPr>
          <w:rFonts w:ascii="Calibri" w:hAnsi="Calibri" w:cs="Times New Roman"/>
          <w:sz w:val="22"/>
          <w:szCs w:val="22"/>
        </w:rPr>
        <w:t xml:space="preserve"> firstly, the generally accepted </w:t>
      </w:r>
      <w:r w:rsidRPr="008D35B3">
        <w:rPr>
          <w:rFonts w:ascii="Calibri" w:hAnsi="Calibri" w:cs="Times New Roman"/>
          <w:sz w:val="22"/>
          <w:szCs w:val="22"/>
        </w:rPr>
        <w:t xml:space="preserve">assumption that voluntariness is something that political philosophers and social scientists, lawyers, judges, and </w:t>
      </w:r>
      <w:r w:rsidR="008F387A" w:rsidRPr="008D35B3">
        <w:rPr>
          <w:rFonts w:ascii="Calibri" w:hAnsi="Calibri" w:cs="Times New Roman"/>
          <w:sz w:val="22"/>
          <w:szCs w:val="22"/>
        </w:rPr>
        <w:t>social workers are capable of assessing. Secondly, they underwrite the idea th</w:t>
      </w:r>
      <w:r w:rsidR="00786215" w:rsidRPr="008D35B3">
        <w:rPr>
          <w:rFonts w:ascii="Calibri" w:hAnsi="Calibri" w:cs="Times New Roman"/>
          <w:sz w:val="22"/>
          <w:szCs w:val="22"/>
        </w:rPr>
        <w:t>at th</w:t>
      </w:r>
      <w:r w:rsidR="008F387A" w:rsidRPr="008D35B3">
        <w:rPr>
          <w:rFonts w:ascii="Calibri" w:hAnsi="Calibri" w:cs="Times New Roman"/>
          <w:sz w:val="22"/>
          <w:szCs w:val="22"/>
        </w:rPr>
        <w:t>e assessment of voluntariness then allows for certain normative judgements, such as the suggestion</w:t>
      </w:r>
      <w:r w:rsidR="00F57485" w:rsidRPr="008D35B3">
        <w:rPr>
          <w:rFonts w:ascii="Calibri" w:hAnsi="Calibri" w:cs="Times New Roman"/>
          <w:sz w:val="22"/>
          <w:szCs w:val="22"/>
        </w:rPr>
        <w:t xml:space="preserve"> that if</w:t>
      </w:r>
      <w:r w:rsidR="008F387A" w:rsidRPr="008D35B3">
        <w:rPr>
          <w:rFonts w:ascii="Calibri" w:hAnsi="Calibri" w:cs="Times New Roman"/>
          <w:sz w:val="22"/>
          <w:szCs w:val="22"/>
        </w:rPr>
        <w:t xml:space="preserve"> </w:t>
      </w:r>
      <w:r w:rsidR="00F57485" w:rsidRPr="008D35B3">
        <w:rPr>
          <w:rFonts w:ascii="Calibri" w:hAnsi="Calibri" w:cs="Times New Roman"/>
          <w:sz w:val="22"/>
          <w:szCs w:val="22"/>
        </w:rPr>
        <w:t xml:space="preserve">the </w:t>
      </w:r>
      <w:r w:rsidR="008F387A" w:rsidRPr="008D35B3">
        <w:rPr>
          <w:rFonts w:ascii="Calibri" w:hAnsi="Calibri" w:cs="Times New Roman"/>
          <w:sz w:val="22"/>
          <w:szCs w:val="22"/>
        </w:rPr>
        <w:t xml:space="preserve">choices </w:t>
      </w:r>
      <w:r w:rsidR="00786215" w:rsidRPr="008D35B3">
        <w:rPr>
          <w:rFonts w:ascii="Calibri" w:hAnsi="Calibri" w:cs="Times New Roman"/>
          <w:sz w:val="22"/>
          <w:szCs w:val="22"/>
        </w:rPr>
        <w:t xml:space="preserve">made </w:t>
      </w:r>
      <w:r w:rsidR="008F387A" w:rsidRPr="008D35B3">
        <w:rPr>
          <w:rFonts w:ascii="Calibri" w:hAnsi="Calibri" w:cs="Times New Roman"/>
          <w:sz w:val="22"/>
          <w:szCs w:val="22"/>
        </w:rPr>
        <w:t>are voluntary,</w:t>
      </w:r>
      <w:r w:rsidR="00786215" w:rsidRPr="008D35B3">
        <w:rPr>
          <w:rFonts w:ascii="Calibri" w:hAnsi="Calibri" w:cs="Times New Roman"/>
          <w:sz w:val="22"/>
          <w:szCs w:val="22"/>
        </w:rPr>
        <w:t xml:space="preserve"> the institutions that provide such choices are just. Thirdly, these examples illustrate how grave the real-life consequences of our assessments pertaining </w:t>
      </w:r>
      <w:r w:rsidR="008D35B3">
        <w:rPr>
          <w:rFonts w:ascii="Calibri" w:hAnsi="Calibri" w:cs="Times New Roman"/>
          <w:sz w:val="22"/>
          <w:szCs w:val="22"/>
        </w:rPr>
        <w:t xml:space="preserve">to </w:t>
      </w:r>
      <w:r w:rsidR="00786215" w:rsidRPr="008D35B3">
        <w:rPr>
          <w:rFonts w:ascii="Calibri" w:hAnsi="Calibri" w:cs="Times New Roman"/>
          <w:sz w:val="22"/>
          <w:szCs w:val="22"/>
        </w:rPr>
        <w:t xml:space="preserve">voluntariness can be for the just treatment of migrants and the </w:t>
      </w:r>
      <w:r w:rsidR="001D599F" w:rsidRPr="008D35B3">
        <w:rPr>
          <w:rFonts w:ascii="Calibri" w:hAnsi="Calibri" w:cs="Times New Roman"/>
          <w:sz w:val="22"/>
          <w:szCs w:val="22"/>
        </w:rPr>
        <w:t>flourishing</w:t>
      </w:r>
      <w:r w:rsidR="00786215" w:rsidRPr="008D35B3">
        <w:rPr>
          <w:rFonts w:ascii="Calibri" w:hAnsi="Calibri" w:cs="Times New Roman"/>
          <w:sz w:val="22"/>
          <w:szCs w:val="22"/>
        </w:rPr>
        <w:t xml:space="preserve"> and self-government of our political institutions.</w:t>
      </w:r>
    </w:p>
    <w:p w14:paraId="78CBF2D7" w14:textId="77777777" w:rsidR="00CE31F1" w:rsidRPr="008D35B3" w:rsidRDefault="00CE31F1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29AC5658" w14:textId="2C5032CE" w:rsidR="00977E9E" w:rsidRDefault="00E4201E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8D35B3">
        <w:rPr>
          <w:rFonts w:ascii="Calibri" w:hAnsi="Calibri" w:cs="Times New Roman"/>
          <w:sz w:val="22"/>
          <w:szCs w:val="22"/>
        </w:rPr>
        <w:lastRenderedPageBreak/>
        <w:t>Given the</w:t>
      </w:r>
      <w:r w:rsidR="001D599F" w:rsidRPr="008D35B3">
        <w:rPr>
          <w:rFonts w:ascii="Calibri" w:hAnsi="Calibri" w:cs="Times New Roman"/>
          <w:sz w:val="22"/>
          <w:szCs w:val="22"/>
        </w:rPr>
        <w:t>se</w:t>
      </w:r>
      <w:r w:rsidRPr="008D35B3">
        <w:rPr>
          <w:rFonts w:ascii="Calibri" w:hAnsi="Calibri" w:cs="Times New Roman"/>
          <w:sz w:val="22"/>
          <w:szCs w:val="22"/>
        </w:rPr>
        <w:t xml:space="preserve"> strong normative, legal, political, and social implications of</w:t>
      </w:r>
      <w:r w:rsidR="00F57485" w:rsidRPr="008D35B3">
        <w:rPr>
          <w:rFonts w:ascii="Calibri" w:hAnsi="Calibri" w:cs="Times New Roman"/>
          <w:sz w:val="22"/>
          <w:szCs w:val="22"/>
        </w:rPr>
        <w:t xml:space="preserve"> the voluntariness of migrant decision-making</w:t>
      </w:r>
      <w:r w:rsidR="001D599F" w:rsidRPr="008D35B3">
        <w:rPr>
          <w:rFonts w:ascii="Calibri" w:hAnsi="Calibri" w:cs="Times New Roman"/>
          <w:sz w:val="22"/>
          <w:szCs w:val="22"/>
        </w:rPr>
        <w:t xml:space="preserve"> </w:t>
      </w:r>
      <w:r w:rsidR="00640DC9" w:rsidRPr="008D35B3">
        <w:rPr>
          <w:rFonts w:ascii="Calibri" w:hAnsi="Calibri" w:cs="Times New Roman"/>
          <w:sz w:val="22"/>
          <w:szCs w:val="22"/>
        </w:rPr>
        <w:t>and</w:t>
      </w:r>
      <w:r w:rsidRPr="008D35B3">
        <w:rPr>
          <w:rFonts w:ascii="Calibri" w:hAnsi="Calibri" w:cs="Times New Roman"/>
          <w:sz w:val="22"/>
          <w:szCs w:val="22"/>
        </w:rPr>
        <w:t xml:space="preserve"> the </w:t>
      </w:r>
      <w:r w:rsidR="00F57485" w:rsidRPr="008D35B3">
        <w:rPr>
          <w:rFonts w:ascii="Calibri" w:hAnsi="Calibri" w:cs="Times New Roman"/>
          <w:sz w:val="22"/>
          <w:szCs w:val="22"/>
        </w:rPr>
        <w:t xml:space="preserve">perceived and real </w:t>
      </w:r>
      <w:r w:rsidRPr="008D35B3">
        <w:rPr>
          <w:rFonts w:ascii="Calibri" w:hAnsi="Calibri" w:cs="Times New Roman"/>
          <w:sz w:val="22"/>
          <w:szCs w:val="22"/>
        </w:rPr>
        <w:t xml:space="preserve">urgency </w:t>
      </w:r>
      <w:r w:rsidR="00C5598B" w:rsidRPr="008D35B3">
        <w:rPr>
          <w:rFonts w:ascii="Calibri" w:hAnsi="Calibri" w:cs="Times New Roman"/>
          <w:sz w:val="22"/>
          <w:szCs w:val="22"/>
        </w:rPr>
        <w:t xml:space="preserve">of </w:t>
      </w:r>
      <w:r w:rsidR="00640DC9" w:rsidRPr="008D35B3">
        <w:rPr>
          <w:rFonts w:ascii="Calibri" w:hAnsi="Calibri" w:cs="Times New Roman"/>
          <w:sz w:val="22"/>
          <w:szCs w:val="22"/>
        </w:rPr>
        <w:t>tending to</w:t>
      </w:r>
      <w:r w:rsidR="00C5598B" w:rsidRPr="008D35B3">
        <w:rPr>
          <w:rFonts w:ascii="Calibri" w:hAnsi="Calibri" w:cs="Times New Roman"/>
          <w:sz w:val="22"/>
          <w:szCs w:val="22"/>
        </w:rPr>
        <w:t xml:space="preserve"> the </w:t>
      </w:r>
      <w:r w:rsidR="00640DC9" w:rsidRPr="008D35B3">
        <w:rPr>
          <w:rFonts w:ascii="Calibri" w:hAnsi="Calibri" w:cs="Times New Roman"/>
          <w:sz w:val="22"/>
          <w:szCs w:val="22"/>
        </w:rPr>
        <w:t>human suffering and considerable political upheaval ca</w:t>
      </w:r>
      <w:r w:rsidR="00C5598B" w:rsidRPr="008D35B3">
        <w:rPr>
          <w:rFonts w:ascii="Calibri" w:hAnsi="Calibri" w:cs="Times New Roman"/>
          <w:sz w:val="22"/>
          <w:szCs w:val="22"/>
        </w:rPr>
        <w:t>used by recent waves of misplacement and migration</w:t>
      </w:r>
      <w:r w:rsidR="00640DC9" w:rsidRPr="008D35B3">
        <w:rPr>
          <w:rFonts w:ascii="Calibri" w:hAnsi="Calibri" w:cs="Times New Roman"/>
          <w:sz w:val="22"/>
          <w:szCs w:val="22"/>
        </w:rPr>
        <w:t xml:space="preserve">, particularly from Africa and the Middle East to European nation-states, the concept is </w:t>
      </w:r>
      <w:r w:rsidR="00786215" w:rsidRPr="008D35B3">
        <w:rPr>
          <w:rFonts w:ascii="Calibri" w:hAnsi="Calibri" w:cs="Times New Roman"/>
          <w:sz w:val="22"/>
          <w:szCs w:val="22"/>
        </w:rPr>
        <w:t xml:space="preserve">recently </w:t>
      </w:r>
      <w:r w:rsidR="00640DC9" w:rsidRPr="008D35B3">
        <w:rPr>
          <w:rFonts w:ascii="Calibri" w:hAnsi="Calibri" w:cs="Times New Roman"/>
          <w:sz w:val="22"/>
          <w:szCs w:val="22"/>
        </w:rPr>
        <w:t xml:space="preserve">attracting more scrutiny across the </w:t>
      </w:r>
      <w:r w:rsidR="00C5598B" w:rsidRPr="008D35B3">
        <w:rPr>
          <w:rFonts w:ascii="Calibri" w:hAnsi="Calibri" w:cs="Times New Roman"/>
          <w:sz w:val="22"/>
          <w:szCs w:val="22"/>
        </w:rPr>
        <w:t>academic spectrum.</w:t>
      </w:r>
      <w:r w:rsidR="00640DC9" w:rsidRPr="008D35B3">
        <w:rPr>
          <w:rFonts w:ascii="Calibri" w:hAnsi="Calibri" w:cs="Times New Roman"/>
          <w:sz w:val="22"/>
          <w:szCs w:val="22"/>
        </w:rPr>
        <w:t xml:space="preserve"> </w:t>
      </w:r>
      <w:r w:rsidR="00F57485" w:rsidRPr="008D35B3">
        <w:rPr>
          <w:rFonts w:ascii="Calibri" w:hAnsi="Calibri" w:cs="Times New Roman"/>
          <w:sz w:val="22"/>
          <w:szCs w:val="22"/>
        </w:rPr>
        <w:t>The scrutiny goes so far</w:t>
      </w:r>
      <w:r w:rsidR="00C5598B" w:rsidRPr="008D35B3">
        <w:rPr>
          <w:rFonts w:ascii="Calibri" w:hAnsi="Calibri" w:cs="Times New Roman"/>
          <w:sz w:val="22"/>
          <w:szCs w:val="22"/>
        </w:rPr>
        <w:t xml:space="preserve"> that </w:t>
      </w:r>
      <w:proofErr w:type="gramStart"/>
      <w:r w:rsidR="00C5598B" w:rsidRPr="008D35B3">
        <w:rPr>
          <w:rFonts w:ascii="Calibri" w:hAnsi="Calibri" w:cs="Times New Roman"/>
          <w:sz w:val="22"/>
          <w:szCs w:val="22"/>
        </w:rPr>
        <w:t>o</w:t>
      </w:r>
      <w:r w:rsidR="00CE31F1" w:rsidRPr="008D35B3">
        <w:rPr>
          <w:rFonts w:ascii="Calibri" w:hAnsi="Calibri" w:cs="Times New Roman"/>
          <w:sz w:val="22"/>
          <w:szCs w:val="22"/>
        </w:rPr>
        <w:t>n the basis of</w:t>
      </w:r>
      <w:proofErr w:type="gramEnd"/>
      <w:r w:rsidR="00CE31F1" w:rsidRPr="008D35B3">
        <w:rPr>
          <w:rFonts w:ascii="Calibri" w:hAnsi="Calibri" w:cs="Times New Roman"/>
          <w:sz w:val="22"/>
          <w:szCs w:val="22"/>
        </w:rPr>
        <w:t xml:space="preserve"> qualitative research with persons from Afghanistan and Pakistan migrating to Europe, </w:t>
      </w:r>
      <w:proofErr w:type="spellStart"/>
      <w:r w:rsidR="00C5598B" w:rsidRPr="008D35B3">
        <w:rPr>
          <w:rFonts w:ascii="Calibri" w:hAnsi="Calibri" w:cs="Times New Roman"/>
          <w:sz w:val="22"/>
          <w:szCs w:val="22"/>
        </w:rPr>
        <w:t>Bivand</w:t>
      </w:r>
      <w:proofErr w:type="spellEnd"/>
      <w:r w:rsidR="00C5598B" w:rsidRPr="008D35B3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="00C5598B" w:rsidRPr="008D35B3">
        <w:rPr>
          <w:rFonts w:ascii="Calibri" w:hAnsi="Calibri" w:cs="Times New Roman"/>
          <w:sz w:val="22"/>
          <w:szCs w:val="22"/>
        </w:rPr>
        <w:t>Erdal</w:t>
      </w:r>
      <w:proofErr w:type="spellEnd"/>
      <w:r w:rsidR="00C5598B" w:rsidRPr="008D35B3">
        <w:rPr>
          <w:rFonts w:ascii="Calibri" w:hAnsi="Calibri" w:cs="Times New Roman"/>
          <w:sz w:val="22"/>
          <w:szCs w:val="22"/>
        </w:rPr>
        <w:t xml:space="preserve">, Marta, </w:t>
      </w:r>
      <w:proofErr w:type="spellStart"/>
      <w:r w:rsidR="00C5598B" w:rsidRPr="008D35B3">
        <w:rPr>
          <w:rFonts w:ascii="Calibri" w:hAnsi="Calibri" w:cs="Times New Roman"/>
          <w:sz w:val="22"/>
          <w:szCs w:val="22"/>
        </w:rPr>
        <w:t>Oeppen</w:t>
      </w:r>
      <w:proofErr w:type="spellEnd"/>
      <w:r w:rsidR="00C5598B" w:rsidRPr="008D35B3">
        <w:rPr>
          <w:rFonts w:ascii="Calibri" w:hAnsi="Calibri" w:cs="Times New Roman"/>
          <w:sz w:val="22"/>
          <w:szCs w:val="22"/>
        </w:rPr>
        <w:t xml:space="preserve"> and</w:t>
      </w:r>
      <w:r w:rsidR="00CE31F1" w:rsidRPr="008D35B3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="00CE31F1" w:rsidRPr="008D35B3">
        <w:rPr>
          <w:rFonts w:ascii="Calibri" w:hAnsi="Calibri" w:cs="Times New Roman"/>
          <w:sz w:val="22"/>
          <w:szCs w:val="22"/>
        </w:rPr>
        <w:t>Ceri</w:t>
      </w:r>
      <w:proofErr w:type="spellEnd"/>
      <w:r w:rsidR="00CE31F1" w:rsidRPr="008D35B3">
        <w:rPr>
          <w:rFonts w:ascii="Calibri" w:hAnsi="Calibri" w:cs="Times New Roman"/>
          <w:sz w:val="22"/>
          <w:szCs w:val="22"/>
        </w:rPr>
        <w:t xml:space="preserve"> </w:t>
      </w:r>
      <w:r w:rsidR="00C5598B" w:rsidRPr="008D35B3">
        <w:rPr>
          <w:rFonts w:ascii="Calibri" w:hAnsi="Calibri" w:cs="Times New Roman"/>
          <w:sz w:val="22"/>
          <w:szCs w:val="22"/>
        </w:rPr>
        <w:t>suggest</w:t>
      </w:r>
      <w:r w:rsidR="00CE31F1" w:rsidRPr="008D35B3">
        <w:rPr>
          <w:rFonts w:ascii="Calibri" w:hAnsi="Calibri" w:cs="Times New Roman"/>
          <w:sz w:val="22"/>
          <w:szCs w:val="22"/>
        </w:rPr>
        <w:t xml:space="preserve"> </w:t>
      </w:r>
      <w:r w:rsidR="00786215" w:rsidRPr="008D35B3">
        <w:rPr>
          <w:rFonts w:ascii="Calibri" w:hAnsi="Calibri" w:cs="Times New Roman"/>
          <w:sz w:val="22"/>
          <w:szCs w:val="22"/>
        </w:rPr>
        <w:t>decoupling</w:t>
      </w:r>
      <w:r w:rsidR="00CE31F1" w:rsidRPr="008D35B3">
        <w:rPr>
          <w:rFonts w:ascii="Calibri" w:hAnsi="Calibri" w:cs="Times New Roman"/>
          <w:sz w:val="22"/>
          <w:szCs w:val="22"/>
        </w:rPr>
        <w:t xml:space="preserve"> descriptions of voluntary and involuntary migration from state mechanisms of migrant inclusion altogether </w:t>
      </w:r>
      <w:r w:rsidR="00C5598B" w:rsidRPr="008D35B3">
        <w:rPr>
          <w:rFonts w:ascii="Calibri" w:hAnsi="Calibri" w:cs="Times New Roman"/>
          <w:sz w:val="22"/>
          <w:szCs w:val="22"/>
        </w:rPr>
        <w:t xml:space="preserve">given an encouraged </w:t>
      </w:r>
      <w:r w:rsidR="00CE31F1" w:rsidRPr="008D35B3">
        <w:rPr>
          <w:rFonts w:ascii="Calibri" w:hAnsi="Calibri" w:cs="Times New Roman"/>
          <w:sz w:val="22"/>
          <w:szCs w:val="22"/>
        </w:rPr>
        <w:t>reorientation from a binary understanding of voluntariness to a gradual “</w:t>
      </w:r>
      <w:r w:rsidR="00F76053">
        <w:rPr>
          <w:rFonts w:ascii="Calibri" w:hAnsi="Calibri" w:cs="Times New Roman"/>
          <w:sz w:val="22"/>
          <w:szCs w:val="22"/>
        </w:rPr>
        <w:t>continuum of experience” (2017).</w:t>
      </w:r>
    </w:p>
    <w:p w14:paraId="6B18AA75" w14:textId="77777777" w:rsidR="00F76053" w:rsidRPr="008D35B3" w:rsidRDefault="00F76053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1A3C5783" w14:textId="46696251" w:rsidR="001D599F" w:rsidRPr="008D35B3" w:rsidRDefault="00640DC9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8D35B3">
        <w:rPr>
          <w:rFonts w:ascii="Calibri" w:hAnsi="Calibri" w:cs="Times New Roman"/>
          <w:sz w:val="22"/>
          <w:szCs w:val="22"/>
        </w:rPr>
        <w:t xml:space="preserve">This panel </w:t>
      </w:r>
      <w:r w:rsidR="00D62264" w:rsidRPr="008D35B3">
        <w:rPr>
          <w:rFonts w:ascii="Calibri" w:hAnsi="Calibri" w:cs="Times New Roman"/>
          <w:sz w:val="22"/>
          <w:szCs w:val="22"/>
        </w:rPr>
        <w:t xml:space="preserve">brings together perspectives from law, political theory, and philosophy to discuss </w:t>
      </w:r>
      <w:r w:rsidR="00977E9E" w:rsidRPr="008D35B3">
        <w:rPr>
          <w:rFonts w:ascii="Calibri" w:hAnsi="Calibri" w:cs="Times New Roman"/>
          <w:sz w:val="22"/>
          <w:szCs w:val="22"/>
        </w:rPr>
        <w:t xml:space="preserve">innovative </w:t>
      </w:r>
      <w:r w:rsidR="00D62264" w:rsidRPr="008D35B3">
        <w:rPr>
          <w:rFonts w:ascii="Calibri" w:hAnsi="Calibri" w:cs="Times New Roman"/>
          <w:sz w:val="22"/>
          <w:szCs w:val="22"/>
        </w:rPr>
        <w:t>suggestions pertaining</w:t>
      </w:r>
      <w:r w:rsidR="008D35B3">
        <w:rPr>
          <w:rFonts w:ascii="Calibri" w:hAnsi="Calibri" w:cs="Times New Roman"/>
          <w:sz w:val="22"/>
          <w:szCs w:val="22"/>
        </w:rPr>
        <w:t xml:space="preserve"> to</w:t>
      </w:r>
      <w:r w:rsidR="00D62264" w:rsidRPr="008D35B3">
        <w:rPr>
          <w:rFonts w:ascii="Calibri" w:hAnsi="Calibri" w:cs="Times New Roman"/>
          <w:sz w:val="22"/>
          <w:szCs w:val="22"/>
        </w:rPr>
        <w:t xml:space="preserve"> these and further</w:t>
      </w:r>
      <w:r w:rsidR="00977E9E" w:rsidRPr="008D35B3">
        <w:rPr>
          <w:rFonts w:ascii="Calibri" w:hAnsi="Calibri" w:cs="Times New Roman"/>
          <w:sz w:val="22"/>
          <w:szCs w:val="22"/>
        </w:rPr>
        <w:t xml:space="preserve"> questions of </w:t>
      </w:r>
      <w:r w:rsidR="00C5598B" w:rsidRPr="008D35B3">
        <w:rPr>
          <w:rFonts w:ascii="Calibri" w:hAnsi="Calibri" w:cs="Times New Roman"/>
          <w:sz w:val="22"/>
          <w:szCs w:val="22"/>
        </w:rPr>
        <w:t xml:space="preserve">migration </w:t>
      </w:r>
      <w:r w:rsidR="00977E9E" w:rsidRPr="008D35B3">
        <w:rPr>
          <w:rFonts w:ascii="Calibri" w:hAnsi="Calibri" w:cs="Times New Roman"/>
          <w:sz w:val="22"/>
          <w:szCs w:val="22"/>
        </w:rPr>
        <w:t>decision-making, both on the level of critically assessing prevalent normative arguments</w:t>
      </w:r>
      <w:r w:rsidR="00F57485" w:rsidRPr="008D35B3">
        <w:rPr>
          <w:rFonts w:ascii="Calibri" w:hAnsi="Calibri" w:cs="Times New Roman"/>
          <w:sz w:val="22"/>
          <w:szCs w:val="22"/>
        </w:rPr>
        <w:t xml:space="preserve"> on voluntariness and migration</w:t>
      </w:r>
      <w:r w:rsidR="00977E9E" w:rsidRPr="008D35B3">
        <w:rPr>
          <w:rFonts w:ascii="Calibri" w:hAnsi="Calibri" w:cs="Times New Roman"/>
          <w:sz w:val="22"/>
          <w:szCs w:val="22"/>
        </w:rPr>
        <w:t xml:space="preserve"> and on a meta-level of questioning scientific and institutional patterns of applying such normative arguments to real-world societies. It hence </w:t>
      </w:r>
      <w:r w:rsidR="00786215" w:rsidRPr="008D35B3">
        <w:rPr>
          <w:rFonts w:ascii="Calibri" w:hAnsi="Calibri" w:cs="Times New Roman"/>
          <w:sz w:val="22"/>
          <w:szCs w:val="22"/>
        </w:rPr>
        <w:t>aims to stimulate</w:t>
      </w:r>
      <w:r w:rsidR="00977E9E" w:rsidRPr="008D35B3">
        <w:rPr>
          <w:rFonts w:ascii="Calibri" w:hAnsi="Calibri" w:cs="Times New Roman"/>
          <w:sz w:val="22"/>
          <w:szCs w:val="22"/>
        </w:rPr>
        <w:t xml:space="preserve"> an interdisciplinary </w:t>
      </w:r>
      <w:r w:rsidR="00786215" w:rsidRPr="008D35B3">
        <w:rPr>
          <w:rFonts w:ascii="Calibri" w:hAnsi="Calibri" w:cs="Times New Roman"/>
          <w:sz w:val="22"/>
          <w:szCs w:val="22"/>
        </w:rPr>
        <w:t xml:space="preserve">debate on the </w:t>
      </w:r>
      <w:r w:rsidRPr="008D35B3">
        <w:rPr>
          <w:rFonts w:ascii="Calibri" w:hAnsi="Calibri" w:cs="Times New Roman"/>
          <w:sz w:val="22"/>
          <w:szCs w:val="22"/>
        </w:rPr>
        <w:t xml:space="preserve">normative </w:t>
      </w:r>
      <w:proofErr w:type="gramStart"/>
      <w:r w:rsidRPr="008D35B3">
        <w:rPr>
          <w:rFonts w:ascii="Calibri" w:hAnsi="Calibri" w:cs="Times New Roman"/>
          <w:sz w:val="22"/>
          <w:szCs w:val="22"/>
        </w:rPr>
        <w:t>political</w:t>
      </w:r>
      <w:r w:rsidR="00977E9E" w:rsidRPr="008D35B3">
        <w:rPr>
          <w:rFonts w:ascii="Calibri" w:hAnsi="Calibri" w:cs="Times New Roman"/>
          <w:sz w:val="22"/>
          <w:szCs w:val="22"/>
        </w:rPr>
        <w:t>,</w:t>
      </w:r>
      <w:proofErr w:type="gramEnd"/>
      <w:r w:rsidRPr="008D35B3">
        <w:rPr>
          <w:rFonts w:ascii="Calibri" w:hAnsi="Calibri" w:cs="Times New Roman"/>
          <w:sz w:val="22"/>
          <w:szCs w:val="22"/>
        </w:rPr>
        <w:t xml:space="preserve"> and legal assumptions about both what voluntariness is and what weight it ought to have for principles and institutions of inclusion and in legal decision-making</w:t>
      </w:r>
      <w:r w:rsidR="0064057F" w:rsidRPr="008D35B3">
        <w:rPr>
          <w:rFonts w:ascii="Calibri" w:hAnsi="Calibri" w:cs="Times New Roman"/>
          <w:sz w:val="22"/>
          <w:szCs w:val="22"/>
        </w:rPr>
        <w:t>.</w:t>
      </w:r>
    </w:p>
    <w:p w14:paraId="6C495129" w14:textId="5F8B06A8" w:rsidR="0027336C" w:rsidRPr="004F0E17" w:rsidRDefault="00D62264" w:rsidP="008D35B3">
      <w:pPr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8D35B3">
        <w:rPr>
          <w:rFonts w:ascii="Calibri" w:hAnsi="Calibri" w:cs="Times New Roman"/>
          <w:sz w:val="22"/>
          <w:szCs w:val="22"/>
        </w:rPr>
        <w:t>For whether or not migrants act voluntarily when they cho</w:t>
      </w:r>
      <w:r w:rsidR="00F57485" w:rsidRPr="008D35B3">
        <w:rPr>
          <w:rFonts w:ascii="Calibri" w:hAnsi="Calibri" w:cs="Times New Roman"/>
          <w:sz w:val="22"/>
          <w:szCs w:val="22"/>
        </w:rPr>
        <w:t>o</w:t>
      </w:r>
      <w:r w:rsidRPr="008D35B3">
        <w:rPr>
          <w:rFonts w:ascii="Calibri" w:hAnsi="Calibri" w:cs="Times New Roman"/>
          <w:sz w:val="22"/>
          <w:szCs w:val="22"/>
        </w:rPr>
        <w:t>se to move the gravitational centers of their lives and leave behin</w:t>
      </w:r>
      <w:r w:rsidR="001D599F" w:rsidRPr="008D35B3">
        <w:rPr>
          <w:rFonts w:ascii="Calibri" w:hAnsi="Calibri" w:cs="Times New Roman"/>
          <w:sz w:val="22"/>
          <w:szCs w:val="22"/>
        </w:rPr>
        <w:t xml:space="preserve">d all that is familiar to them may be in just as much of a process of fundamental change as our ever-diversifying societies. Similarly, whether </w:t>
      </w:r>
      <w:r w:rsidRPr="008D35B3">
        <w:rPr>
          <w:rFonts w:ascii="Calibri" w:hAnsi="Calibri" w:cs="Times New Roman"/>
          <w:sz w:val="22"/>
          <w:szCs w:val="22"/>
        </w:rPr>
        <w:t>they act voluntarily if they remain citizens of their states of origin for the cost of their rights of representation and self-government</w:t>
      </w:r>
      <w:r w:rsidR="001D599F" w:rsidRPr="008D35B3">
        <w:rPr>
          <w:rFonts w:ascii="Calibri" w:hAnsi="Calibri" w:cs="Times New Roman"/>
          <w:sz w:val="22"/>
          <w:szCs w:val="22"/>
        </w:rPr>
        <w:t xml:space="preserve"> </w:t>
      </w:r>
      <w:r w:rsidR="00F57485" w:rsidRPr="008D35B3">
        <w:rPr>
          <w:rFonts w:ascii="Calibri" w:hAnsi="Calibri" w:cs="Times New Roman"/>
          <w:sz w:val="22"/>
          <w:szCs w:val="22"/>
        </w:rPr>
        <w:t>is a question that c</w:t>
      </w:r>
      <w:r w:rsidR="001D599F" w:rsidRPr="008D35B3">
        <w:rPr>
          <w:rFonts w:ascii="Calibri" w:hAnsi="Calibri" w:cs="Times New Roman"/>
          <w:sz w:val="22"/>
          <w:szCs w:val="22"/>
        </w:rPr>
        <w:t>ould have been answered differently twenty or f</w:t>
      </w:r>
      <w:r w:rsidR="00C5598B" w:rsidRPr="008D35B3">
        <w:rPr>
          <w:rFonts w:ascii="Calibri" w:hAnsi="Calibri" w:cs="Times New Roman"/>
          <w:sz w:val="22"/>
          <w:szCs w:val="22"/>
        </w:rPr>
        <w:t>ifty years ago, when traditionally state-centric</w:t>
      </w:r>
      <w:r w:rsidR="001D599F" w:rsidRPr="008D35B3">
        <w:rPr>
          <w:rFonts w:ascii="Calibri" w:hAnsi="Calibri" w:cs="Times New Roman"/>
          <w:sz w:val="22"/>
          <w:szCs w:val="22"/>
        </w:rPr>
        <w:t xml:space="preserve"> concepts of citizenship, migration, and representative demo</w:t>
      </w:r>
      <w:r w:rsidR="00F57485" w:rsidRPr="008D35B3">
        <w:rPr>
          <w:rFonts w:ascii="Calibri" w:hAnsi="Calibri" w:cs="Times New Roman"/>
          <w:sz w:val="22"/>
          <w:szCs w:val="22"/>
        </w:rPr>
        <w:t xml:space="preserve">cracy were </w:t>
      </w:r>
      <w:r w:rsidR="00E304A2" w:rsidRPr="008D35B3">
        <w:rPr>
          <w:rFonts w:ascii="Calibri" w:hAnsi="Calibri" w:cs="Times New Roman"/>
          <w:sz w:val="22"/>
          <w:szCs w:val="22"/>
        </w:rPr>
        <w:t xml:space="preserve">still </w:t>
      </w:r>
      <w:r w:rsidR="00F57485" w:rsidRPr="008D35B3">
        <w:rPr>
          <w:rFonts w:ascii="Calibri" w:hAnsi="Calibri" w:cs="Times New Roman"/>
          <w:sz w:val="22"/>
          <w:szCs w:val="22"/>
        </w:rPr>
        <w:t>more or less intact</w:t>
      </w:r>
      <w:r w:rsidR="006E1DE2" w:rsidRPr="008D35B3">
        <w:rPr>
          <w:rFonts w:ascii="Calibri" w:hAnsi="Calibri" w:cs="Times New Roman"/>
          <w:sz w:val="22"/>
          <w:szCs w:val="22"/>
        </w:rPr>
        <w:t>.</w:t>
      </w:r>
      <w:r w:rsidR="00F57485" w:rsidRPr="008D35B3">
        <w:rPr>
          <w:rFonts w:ascii="Calibri" w:hAnsi="Calibri" w:cs="Times New Roman"/>
          <w:sz w:val="22"/>
          <w:szCs w:val="22"/>
        </w:rPr>
        <w:t xml:space="preserve"> As times are changing, </w:t>
      </w:r>
      <w:r w:rsidR="00363CEF">
        <w:rPr>
          <w:rFonts w:ascii="Calibri" w:hAnsi="Calibri" w:cs="Times New Roman"/>
          <w:sz w:val="22"/>
          <w:szCs w:val="22"/>
        </w:rPr>
        <w:t xml:space="preserve">however, </w:t>
      </w:r>
      <w:r w:rsidR="00F57485" w:rsidRPr="008D35B3">
        <w:rPr>
          <w:rFonts w:ascii="Calibri" w:hAnsi="Calibri" w:cs="Times New Roman"/>
          <w:sz w:val="22"/>
          <w:szCs w:val="22"/>
        </w:rPr>
        <w:t xml:space="preserve">so must our answers </w:t>
      </w:r>
      <w:r w:rsidR="00E304A2" w:rsidRPr="008D35B3">
        <w:rPr>
          <w:rFonts w:ascii="Calibri" w:hAnsi="Calibri" w:cs="Times New Roman"/>
          <w:sz w:val="22"/>
          <w:szCs w:val="22"/>
        </w:rPr>
        <w:t xml:space="preserve">to these questions. </w:t>
      </w:r>
      <w:r w:rsidR="006E1DE2" w:rsidRPr="008D35B3">
        <w:rPr>
          <w:rFonts w:ascii="Calibri" w:hAnsi="Calibri" w:cs="Times New Roman"/>
          <w:sz w:val="22"/>
          <w:szCs w:val="22"/>
        </w:rPr>
        <w:t xml:space="preserve">This panel </w:t>
      </w:r>
      <w:r w:rsidR="001D599F" w:rsidRPr="008D35B3">
        <w:rPr>
          <w:rFonts w:ascii="Calibri" w:hAnsi="Calibri" w:cs="Times New Roman"/>
          <w:sz w:val="22"/>
          <w:szCs w:val="22"/>
        </w:rPr>
        <w:t xml:space="preserve">presents a platform of interdisciplinary debate to highlight and evaluate such possible changes and the </w:t>
      </w:r>
      <w:r w:rsidRPr="008D35B3">
        <w:rPr>
          <w:rFonts w:ascii="Calibri" w:hAnsi="Calibri" w:cs="Times New Roman"/>
          <w:sz w:val="22"/>
          <w:szCs w:val="22"/>
        </w:rPr>
        <w:t>normative and institutional consequence</w:t>
      </w:r>
      <w:r w:rsidR="001D599F" w:rsidRPr="008D35B3">
        <w:rPr>
          <w:rFonts w:ascii="Calibri" w:hAnsi="Calibri" w:cs="Times New Roman"/>
          <w:sz w:val="22"/>
          <w:szCs w:val="22"/>
        </w:rPr>
        <w:t>s</w:t>
      </w:r>
      <w:r w:rsidRPr="008D35B3">
        <w:rPr>
          <w:rFonts w:ascii="Calibri" w:hAnsi="Calibri" w:cs="Times New Roman"/>
          <w:sz w:val="22"/>
          <w:szCs w:val="22"/>
        </w:rPr>
        <w:t xml:space="preserve">, if any, </w:t>
      </w:r>
      <w:r w:rsidR="001D599F" w:rsidRPr="008D35B3">
        <w:rPr>
          <w:rFonts w:ascii="Calibri" w:hAnsi="Calibri" w:cs="Times New Roman"/>
          <w:sz w:val="22"/>
          <w:szCs w:val="22"/>
        </w:rPr>
        <w:t xml:space="preserve">that </w:t>
      </w:r>
      <w:r w:rsidRPr="008D35B3">
        <w:rPr>
          <w:rFonts w:ascii="Calibri" w:hAnsi="Calibri" w:cs="Times New Roman"/>
          <w:sz w:val="22"/>
          <w:szCs w:val="22"/>
        </w:rPr>
        <w:t>ought to fol</w:t>
      </w:r>
      <w:r w:rsidR="001D599F" w:rsidRPr="008D35B3">
        <w:rPr>
          <w:rFonts w:ascii="Calibri" w:hAnsi="Calibri" w:cs="Times New Roman"/>
          <w:sz w:val="22"/>
          <w:szCs w:val="22"/>
        </w:rPr>
        <w:t>low from them.</w:t>
      </w:r>
    </w:p>
    <w:sectPr w:rsidR="0027336C" w:rsidRPr="004F0E17" w:rsidSect="008F791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14154" w14:textId="77777777" w:rsidR="001E21AA" w:rsidRDefault="001E21AA" w:rsidP="00870BD3">
      <w:r>
        <w:separator/>
      </w:r>
    </w:p>
  </w:endnote>
  <w:endnote w:type="continuationSeparator" w:id="0">
    <w:p w14:paraId="4C0F2582" w14:textId="77777777" w:rsidR="001E21AA" w:rsidRDefault="001E21AA" w:rsidP="0087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40372382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6B6F82" w14:textId="77777777" w:rsidR="00E304A2" w:rsidRDefault="00E304A2" w:rsidP="00F5748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DA1C8E2" w14:textId="77777777" w:rsidR="00E304A2" w:rsidRDefault="00E304A2" w:rsidP="00870BD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49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74"/>
    </w:tblGrid>
    <w:tr w:rsidR="00E72A4A" w14:paraId="4476D246" w14:textId="77777777" w:rsidTr="00E72A4A">
      <w:trPr>
        <w:jc w:val="center"/>
      </w:trPr>
      <w:tc>
        <w:tcPr>
          <w:tcW w:w="4674" w:type="dxa"/>
          <w:shd w:val="clear" w:color="auto" w:fill="auto"/>
          <w:vAlign w:val="center"/>
        </w:tcPr>
        <w:p w14:paraId="53E64877" w14:textId="77777777" w:rsidR="00E72A4A" w:rsidRDefault="00E72A4A">
          <w:pPr>
            <w:pStyle w:val="Fuzeil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7709B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D6DA77D" w14:textId="77777777" w:rsidR="00E304A2" w:rsidRDefault="00E304A2" w:rsidP="00870BD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D9879" w14:textId="77777777" w:rsidR="001E21AA" w:rsidRDefault="001E21AA" w:rsidP="00870BD3">
      <w:r>
        <w:separator/>
      </w:r>
    </w:p>
  </w:footnote>
  <w:footnote w:type="continuationSeparator" w:id="0">
    <w:p w14:paraId="1A1BBC0F" w14:textId="77777777" w:rsidR="001E21AA" w:rsidRDefault="001E21AA" w:rsidP="0087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D2574" w14:textId="243EE3A5" w:rsidR="00E304A2" w:rsidRPr="008D35B3" w:rsidRDefault="008D35B3" w:rsidP="008D35B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B0DDE"/>
    <w:multiLevelType w:val="hybridMultilevel"/>
    <w:tmpl w:val="5540D9A8"/>
    <w:lvl w:ilvl="0" w:tplc="41EA2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9"/>
    <w:rsid w:val="00011142"/>
    <w:rsid w:val="00126901"/>
    <w:rsid w:val="00166A81"/>
    <w:rsid w:val="001D599F"/>
    <w:rsid w:val="001E21AA"/>
    <w:rsid w:val="002006F1"/>
    <w:rsid w:val="00252DC9"/>
    <w:rsid w:val="0027336C"/>
    <w:rsid w:val="0027709B"/>
    <w:rsid w:val="002D76E2"/>
    <w:rsid w:val="003120C7"/>
    <w:rsid w:val="00363CEF"/>
    <w:rsid w:val="003E7608"/>
    <w:rsid w:val="00472818"/>
    <w:rsid w:val="004D0537"/>
    <w:rsid w:val="004F0E17"/>
    <w:rsid w:val="005664A0"/>
    <w:rsid w:val="0064057F"/>
    <w:rsid w:val="00640DC9"/>
    <w:rsid w:val="006E1DE2"/>
    <w:rsid w:val="00746253"/>
    <w:rsid w:val="00786215"/>
    <w:rsid w:val="0079554E"/>
    <w:rsid w:val="00870BD3"/>
    <w:rsid w:val="00886210"/>
    <w:rsid w:val="008B1970"/>
    <w:rsid w:val="008D35B3"/>
    <w:rsid w:val="008F387A"/>
    <w:rsid w:val="008F4E6F"/>
    <w:rsid w:val="008F7911"/>
    <w:rsid w:val="00977E9E"/>
    <w:rsid w:val="009D5B23"/>
    <w:rsid w:val="00A26CBA"/>
    <w:rsid w:val="00A427E5"/>
    <w:rsid w:val="00A54816"/>
    <w:rsid w:val="00A55185"/>
    <w:rsid w:val="00AB279D"/>
    <w:rsid w:val="00B24F69"/>
    <w:rsid w:val="00B73283"/>
    <w:rsid w:val="00B841DB"/>
    <w:rsid w:val="00C5598B"/>
    <w:rsid w:val="00CE31F1"/>
    <w:rsid w:val="00D20CB9"/>
    <w:rsid w:val="00D2765C"/>
    <w:rsid w:val="00D54424"/>
    <w:rsid w:val="00D62264"/>
    <w:rsid w:val="00DD213C"/>
    <w:rsid w:val="00E10C1A"/>
    <w:rsid w:val="00E304A2"/>
    <w:rsid w:val="00E4201E"/>
    <w:rsid w:val="00E72A4A"/>
    <w:rsid w:val="00EA2A26"/>
    <w:rsid w:val="00F57485"/>
    <w:rsid w:val="00F76053"/>
    <w:rsid w:val="00FA0BD7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6156D5"/>
  <w14:defaultImageDpi w14:val="32767"/>
  <w15:docId w15:val="{3225A19A-8003-E249-8C86-90B50F38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1DE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70BD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0BD3"/>
  </w:style>
  <w:style w:type="character" w:styleId="Seitenzahl">
    <w:name w:val="page number"/>
    <w:basedOn w:val="Absatz-Standardschriftart"/>
    <w:uiPriority w:val="99"/>
    <w:semiHidden/>
    <w:unhideWhenUsed/>
    <w:rsid w:val="00870BD3"/>
  </w:style>
  <w:style w:type="paragraph" w:styleId="Kopfzeile">
    <w:name w:val="header"/>
    <w:basedOn w:val="Standard"/>
    <w:link w:val="KopfzeileZchn"/>
    <w:uiPriority w:val="99"/>
    <w:unhideWhenUsed/>
    <w:rsid w:val="00870BD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0B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BD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BD3"/>
    <w:rPr>
      <w:rFonts w:ascii="Times New Roman" w:hAnsi="Times New Roman" w:cs="Times New Roman"/>
      <w:sz w:val="18"/>
      <w:szCs w:val="18"/>
    </w:rPr>
  </w:style>
  <w:style w:type="paragraph" w:styleId="KeinLeerraum">
    <w:name w:val="No Spacing"/>
    <w:uiPriority w:val="1"/>
    <w:qFormat/>
    <w:rsid w:val="003E760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5. Jahrestagung zur Migrations- und Integrationsforschung in Österreich</vt:lpstr>
      <vt:lpstr/>
    </vt:vector>
  </TitlesOfParts>
  <Manager/>
  <Company/>
  <LinksUpToDate>false</LinksUpToDate>
  <CharactersWithSpaces>5699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Jahrestagung zur Migrations- und Integrationsforschung in Österreich</dc:title>
  <dc:subject/>
  <dc:creator>Panel Proposal, Gün Güley</dc:creator>
  <cp:keywords/>
  <dc:description/>
  <cp:lastModifiedBy>Apostle, Katharine Anne</cp:lastModifiedBy>
  <cp:revision>8</cp:revision>
  <dcterms:created xsi:type="dcterms:W3CDTF">2018-08-15T18:26:00Z</dcterms:created>
  <dcterms:modified xsi:type="dcterms:W3CDTF">2018-09-19T10:03:00Z</dcterms:modified>
  <cp:category/>
</cp:coreProperties>
</file>