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00F" w:rsidRDefault="0042600F" w:rsidP="00AC70CA">
      <w:pPr>
        <w:spacing w:before="0" w:after="0" w:line="276" w:lineRule="auto"/>
        <w:ind w:right="-284"/>
        <w:jc w:val="both"/>
        <w:rPr>
          <w:sz w:val="22"/>
          <w:szCs w:val="22"/>
          <w:lang w:val="de-AT"/>
        </w:rPr>
      </w:pPr>
      <w:r w:rsidRPr="0042600F">
        <w:rPr>
          <w:sz w:val="22"/>
          <w:szCs w:val="22"/>
          <w:lang w:val="de-AT"/>
        </w:rPr>
        <w:t>Anna Faustmann, Ly</w:t>
      </w:r>
      <w:r>
        <w:rPr>
          <w:sz w:val="22"/>
          <w:szCs w:val="22"/>
          <w:lang w:val="de-AT"/>
        </w:rPr>
        <w:t xml:space="preserve">dia Rössl </w:t>
      </w:r>
      <w:r w:rsidR="00AC70CA">
        <w:rPr>
          <w:sz w:val="22"/>
          <w:szCs w:val="22"/>
          <w:lang w:val="de-AT"/>
        </w:rPr>
        <w:t>und</w:t>
      </w:r>
      <w:r>
        <w:rPr>
          <w:sz w:val="22"/>
          <w:szCs w:val="22"/>
          <w:lang w:val="de-AT"/>
        </w:rPr>
        <w:t xml:space="preserve"> Isabella Skrivanek (</w:t>
      </w:r>
      <w:r w:rsidRPr="0042600F">
        <w:rPr>
          <w:sz w:val="22"/>
          <w:szCs w:val="22"/>
          <w:lang w:val="de-AT"/>
        </w:rPr>
        <w:t>Donau-Universität Krems</w:t>
      </w:r>
      <w:r>
        <w:rPr>
          <w:sz w:val="22"/>
          <w:szCs w:val="22"/>
          <w:lang w:val="de-AT"/>
        </w:rPr>
        <w:t>)</w:t>
      </w:r>
    </w:p>
    <w:p w:rsidR="0042600F" w:rsidRDefault="0042600F" w:rsidP="00AC70CA">
      <w:pPr>
        <w:spacing w:before="0" w:after="0" w:line="276" w:lineRule="auto"/>
        <w:ind w:right="-284"/>
        <w:jc w:val="both"/>
        <w:rPr>
          <w:sz w:val="22"/>
          <w:szCs w:val="22"/>
          <w:lang w:val="de-AT"/>
        </w:rPr>
      </w:pPr>
    </w:p>
    <w:p w:rsidR="006F5A3B" w:rsidRPr="0042600F" w:rsidRDefault="006F5A3B" w:rsidP="00AC70CA">
      <w:pPr>
        <w:spacing w:before="0" w:after="0" w:line="276" w:lineRule="auto"/>
        <w:ind w:right="-284"/>
        <w:jc w:val="both"/>
        <w:rPr>
          <w:b/>
          <w:sz w:val="22"/>
          <w:szCs w:val="22"/>
          <w:lang w:val="de-AT"/>
        </w:rPr>
      </w:pPr>
      <w:r w:rsidRPr="0042600F">
        <w:rPr>
          <w:b/>
          <w:sz w:val="22"/>
          <w:szCs w:val="22"/>
          <w:lang w:val="de-AT"/>
        </w:rPr>
        <w:t>Hochqualifizierte Migration als Familienentscheidung – Zuwanderung von Hochqualifizierten im Kontext von Migrations- und Integrationstheorien am Beispiel Oberösterreich</w:t>
      </w:r>
    </w:p>
    <w:p w:rsidR="0042600F" w:rsidRDefault="0042600F" w:rsidP="00AC70CA">
      <w:pPr>
        <w:spacing w:before="0" w:after="0" w:line="276" w:lineRule="auto"/>
        <w:jc w:val="both"/>
        <w:rPr>
          <w:sz w:val="22"/>
          <w:szCs w:val="22"/>
          <w:lang w:val="de-AT"/>
        </w:rPr>
      </w:pPr>
    </w:p>
    <w:p w:rsidR="00B55E84" w:rsidRDefault="00B55E84" w:rsidP="00AC70CA">
      <w:pPr>
        <w:spacing w:before="0" w:after="0" w:line="276" w:lineRule="auto"/>
        <w:jc w:val="both"/>
        <w:rPr>
          <w:sz w:val="22"/>
          <w:szCs w:val="22"/>
          <w:lang w:val="de-AT"/>
        </w:rPr>
      </w:pPr>
      <w:r w:rsidRPr="00B55E84">
        <w:rPr>
          <w:sz w:val="22"/>
          <w:szCs w:val="22"/>
          <w:lang w:val="de-AT"/>
        </w:rPr>
        <w:t xml:space="preserve">In den letzten Jahrzehnten hat die Zahl der Länder zugenommen, die ihre Migrationspolitiken auf (hoch-)qualifizierte </w:t>
      </w:r>
      <w:proofErr w:type="spellStart"/>
      <w:r w:rsidRPr="00B55E84">
        <w:rPr>
          <w:sz w:val="22"/>
          <w:szCs w:val="22"/>
          <w:lang w:val="de-AT"/>
        </w:rPr>
        <w:t>MigrantInnen</w:t>
      </w:r>
      <w:proofErr w:type="spellEnd"/>
      <w:r w:rsidRPr="00B55E84">
        <w:rPr>
          <w:sz w:val="22"/>
          <w:szCs w:val="22"/>
          <w:lang w:val="de-AT"/>
        </w:rPr>
        <w:t xml:space="preserve"> ausrichten. Auf politischer Ebene steht einerseits im Vordergrund, wie die eigene Wettbewerbsposition um „Talente“ verbessert werden kann. Andererseits ist die Wanderung dieser Personengruppe positiv konnotiert, da geringe Integrationskosten und positive Effekte für die wirtschaftliche Entwicklung und Innovationskraft erwartet werden.</w:t>
      </w:r>
    </w:p>
    <w:p w:rsidR="006F5A3B" w:rsidRPr="0042600F" w:rsidRDefault="00B55E84" w:rsidP="00AC70CA">
      <w:pPr>
        <w:spacing w:before="0" w:after="0" w:line="276" w:lineRule="auto"/>
        <w:jc w:val="both"/>
        <w:rPr>
          <w:rFonts w:eastAsia="Calibri"/>
          <w:sz w:val="22"/>
          <w:szCs w:val="22"/>
          <w:lang w:val="de-AT"/>
        </w:rPr>
      </w:pPr>
      <w:r w:rsidRPr="00B55E84">
        <w:rPr>
          <w:sz w:val="22"/>
          <w:szCs w:val="22"/>
          <w:lang w:val="de-AT"/>
        </w:rPr>
        <w:t xml:space="preserve">Die migrationswissenschaftliche Forschung fokussiert auf den Effekten migrationspolitischer Instrumente, Wanderungsmotiven unterschiedlicher Typen von (hoch-)qualifizierten </w:t>
      </w:r>
      <w:proofErr w:type="spellStart"/>
      <w:r w:rsidRPr="00B55E84">
        <w:rPr>
          <w:sz w:val="22"/>
          <w:szCs w:val="22"/>
          <w:lang w:val="de-AT"/>
        </w:rPr>
        <w:t>MigrantInnen</w:t>
      </w:r>
      <w:proofErr w:type="spellEnd"/>
      <w:r w:rsidRPr="00B55E84">
        <w:rPr>
          <w:sz w:val="22"/>
          <w:szCs w:val="22"/>
          <w:lang w:val="de-AT"/>
        </w:rPr>
        <w:t xml:space="preserve">, ökonomischen Abschätzungen sowie Implikationen für Herkunftsländer. Fragen der Integration (hoch-)qualifizierter </w:t>
      </w:r>
      <w:proofErr w:type="spellStart"/>
      <w:r w:rsidRPr="00B55E84">
        <w:rPr>
          <w:sz w:val="22"/>
          <w:szCs w:val="22"/>
          <w:lang w:val="de-AT"/>
        </w:rPr>
        <w:t>MigrantInnen</w:t>
      </w:r>
      <w:proofErr w:type="spellEnd"/>
      <w:r w:rsidRPr="00B55E84">
        <w:rPr>
          <w:sz w:val="22"/>
          <w:szCs w:val="22"/>
          <w:lang w:val="de-AT"/>
        </w:rPr>
        <w:t xml:space="preserve"> kamen in österreichischen und deutschen Forschungen eher indirekt mit Befunden zur Überqualifikation und Diskriminierung von </w:t>
      </w:r>
      <w:proofErr w:type="spellStart"/>
      <w:r w:rsidRPr="00B55E84">
        <w:rPr>
          <w:sz w:val="22"/>
          <w:szCs w:val="22"/>
          <w:lang w:val="de-AT"/>
        </w:rPr>
        <w:t>MigrantInnen</w:t>
      </w:r>
      <w:proofErr w:type="spellEnd"/>
      <w:r w:rsidRPr="00B55E84">
        <w:rPr>
          <w:sz w:val="22"/>
          <w:szCs w:val="22"/>
          <w:lang w:val="de-AT"/>
        </w:rPr>
        <w:t xml:space="preserve"> am Arbeitsmarkt auf, international zunehmend auch zur globalen „Elite“, unterschiedlichen sozialen Realitäten sowie regionalen Kontexten. (</w:t>
      </w:r>
      <w:proofErr w:type="spellStart"/>
      <w:r w:rsidRPr="00B55E84">
        <w:rPr>
          <w:sz w:val="22"/>
          <w:szCs w:val="22"/>
          <w:lang w:val="de-AT"/>
        </w:rPr>
        <w:t>Favell</w:t>
      </w:r>
      <w:proofErr w:type="spellEnd"/>
      <w:r w:rsidRPr="00B55E84">
        <w:rPr>
          <w:sz w:val="22"/>
          <w:szCs w:val="22"/>
          <w:lang w:val="de-AT"/>
        </w:rPr>
        <w:t>/</w:t>
      </w:r>
      <w:proofErr w:type="spellStart"/>
      <w:r w:rsidRPr="00B55E84">
        <w:rPr>
          <w:sz w:val="22"/>
          <w:szCs w:val="22"/>
          <w:lang w:val="de-AT"/>
        </w:rPr>
        <w:t>Feldblum</w:t>
      </w:r>
      <w:proofErr w:type="spellEnd"/>
      <w:r w:rsidRPr="00B55E84">
        <w:rPr>
          <w:sz w:val="22"/>
          <w:szCs w:val="22"/>
          <w:lang w:val="de-AT"/>
        </w:rPr>
        <w:t xml:space="preserve">/Smith 2006, </w:t>
      </w:r>
      <w:proofErr w:type="spellStart"/>
      <w:r w:rsidRPr="00B55E84">
        <w:rPr>
          <w:sz w:val="22"/>
          <w:szCs w:val="22"/>
          <w:lang w:val="de-AT"/>
        </w:rPr>
        <w:t>Kilpatrick</w:t>
      </w:r>
      <w:proofErr w:type="spellEnd"/>
      <w:r w:rsidRPr="00B55E84">
        <w:rPr>
          <w:sz w:val="22"/>
          <w:szCs w:val="22"/>
          <w:lang w:val="de-AT"/>
        </w:rPr>
        <w:t xml:space="preserve"> et al. 2011, </w:t>
      </w:r>
      <w:proofErr w:type="spellStart"/>
      <w:r w:rsidRPr="00B55E84">
        <w:rPr>
          <w:sz w:val="22"/>
          <w:szCs w:val="22"/>
          <w:lang w:val="de-AT"/>
        </w:rPr>
        <w:t>Wickramaarachchi</w:t>
      </w:r>
      <w:proofErr w:type="spellEnd"/>
      <w:r w:rsidRPr="00B55E84">
        <w:rPr>
          <w:sz w:val="22"/>
          <w:szCs w:val="22"/>
          <w:lang w:val="de-AT"/>
        </w:rPr>
        <w:t xml:space="preserve">/Butt 2014) Hochqualifizierte </w:t>
      </w:r>
      <w:proofErr w:type="spellStart"/>
      <w:r w:rsidRPr="00B55E84">
        <w:rPr>
          <w:sz w:val="22"/>
          <w:szCs w:val="22"/>
          <w:lang w:val="de-AT"/>
        </w:rPr>
        <w:t>ArbeitsmigrantInnen</w:t>
      </w:r>
      <w:proofErr w:type="spellEnd"/>
      <w:r w:rsidRPr="00B55E84">
        <w:rPr>
          <w:sz w:val="22"/>
          <w:szCs w:val="22"/>
          <w:lang w:val="de-AT"/>
        </w:rPr>
        <w:t xml:space="preserve"> werden hierbei vielfach als mobile ökonomische Einzelakteure charakterisiert, mit begrenzten Integrationsmöglichkeiten und –</w:t>
      </w:r>
      <w:proofErr w:type="spellStart"/>
      <w:r w:rsidRPr="00B55E84">
        <w:rPr>
          <w:sz w:val="22"/>
          <w:szCs w:val="22"/>
          <w:lang w:val="de-AT"/>
        </w:rPr>
        <w:t>interessen</w:t>
      </w:r>
      <w:proofErr w:type="spellEnd"/>
      <w:r w:rsidRPr="00B55E84">
        <w:rPr>
          <w:sz w:val="22"/>
          <w:szCs w:val="22"/>
          <w:lang w:val="de-AT"/>
        </w:rPr>
        <w:t xml:space="preserve"> aufgrund der </w:t>
      </w:r>
      <w:proofErr w:type="spellStart"/>
      <w:r w:rsidRPr="00B55E84">
        <w:rPr>
          <w:sz w:val="22"/>
          <w:szCs w:val="22"/>
          <w:lang w:val="de-AT"/>
        </w:rPr>
        <w:t>Temporalität</w:t>
      </w:r>
      <w:proofErr w:type="spellEnd"/>
      <w:r w:rsidRPr="00B55E84">
        <w:rPr>
          <w:sz w:val="22"/>
          <w:szCs w:val="22"/>
          <w:lang w:val="de-AT"/>
        </w:rPr>
        <w:t xml:space="preserve"> des Aufenthalts, zeitlicher Belastung im Beruf, geringen Sprachkenntnissen, einem Fokus auf internationale Netzwerke (</w:t>
      </w:r>
      <w:proofErr w:type="spellStart"/>
      <w:r w:rsidRPr="00B55E84">
        <w:rPr>
          <w:sz w:val="22"/>
          <w:szCs w:val="22"/>
          <w:lang w:val="de-AT"/>
        </w:rPr>
        <w:t>Föbker</w:t>
      </w:r>
      <w:proofErr w:type="spellEnd"/>
      <w:r w:rsidRPr="00B55E84">
        <w:rPr>
          <w:sz w:val="22"/>
          <w:szCs w:val="22"/>
          <w:lang w:val="de-AT"/>
        </w:rPr>
        <w:t xml:space="preserve"> et al. 2016, 109) und damit wenig Bedarf und Interesse an regionalen und lokalen Integrationsangeboten.</w:t>
      </w:r>
    </w:p>
    <w:p w:rsidR="0042600F" w:rsidRDefault="00B55E84" w:rsidP="00AC70CA">
      <w:pPr>
        <w:spacing w:before="0" w:after="0" w:line="276" w:lineRule="auto"/>
        <w:jc w:val="both"/>
        <w:rPr>
          <w:sz w:val="22"/>
          <w:szCs w:val="22"/>
          <w:lang w:val="de-AT" w:eastAsia="en-US"/>
        </w:rPr>
      </w:pPr>
      <w:r w:rsidRPr="00B55E84">
        <w:rPr>
          <w:sz w:val="22"/>
          <w:szCs w:val="22"/>
          <w:lang w:val="de-AT" w:eastAsia="en-US"/>
        </w:rPr>
        <w:t xml:space="preserve">Auf Basis einer inhaltsanalytischen Auswertung von leitfadengestützten Interviews mit </w:t>
      </w:r>
      <w:proofErr w:type="spellStart"/>
      <w:r w:rsidRPr="00B55E84">
        <w:rPr>
          <w:sz w:val="22"/>
          <w:szCs w:val="22"/>
          <w:lang w:val="de-AT" w:eastAsia="en-US"/>
        </w:rPr>
        <w:t>ZuwanderInnen</w:t>
      </w:r>
      <w:proofErr w:type="spellEnd"/>
      <w:r w:rsidRPr="00B55E84">
        <w:rPr>
          <w:sz w:val="22"/>
          <w:szCs w:val="22"/>
          <w:lang w:val="de-AT" w:eastAsia="en-US"/>
        </w:rPr>
        <w:t xml:space="preserve"> in allen oberösterreichischen Regionen fokussiert dieser Beitrag auf die Integrationsmotive von (hoch-)qualifizierten </w:t>
      </w:r>
      <w:proofErr w:type="spellStart"/>
      <w:r w:rsidRPr="00B55E84">
        <w:rPr>
          <w:sz w:val="22"/>
          <w:szCs w:val="22"/>
          <w:lang w:val="de-AT" w:eastAsia="en-US"/>
        </w:rPr>
        <w:t>MigrantInnen</w:t>
      </w:r>
      <w:proofErr w:type="spellEnd"/>
      <w:r w:rsidRPr="00B55E84">
        <w:rPr>
          <w:sz w:val="22"/>
          <w:szCs w:val="22"/>
          <w:lang w:val="de-AT" w:eastAsia="en-US"/>
        </w:rPr>
        <w:t xml:space="preserve"> und beleuchtet, inwiefern Migration eine Familien- und Haushaltsentscheidung darstellt und welche Rolle dabei regionale Rahmenbedingungen und Integrationsangebote haben. Es wird argumentiert, dass ökonomische Faktoren nicht allein das Wanderungs- und Mobilitätsverhalten erklären können, sondern auch für (Hoch-)Qualifizierte soziale Faktoren mittel- und längerfristig ausschlaggebend für den Verbleib in der Region sind, insbesondere in ländlicheren Gebieten. Die Einbettung und Rahmenbedingungen für einen/eine </w:t>
      </w:r>
      <w:proofErr w:type="spellStart"/>
      <w:r w:rsidRPr="00B55E84">
        <w:rPr>
          <w:sz w:val="22"/>
          <w:szCs w:val="22"/>
          <w:lang w:val="de-AT" w:eastAsia="en-US"/>
        </w:rPr>
        <w:t>PartnerIn</w:t>
      </w:r>
      <w:proofErr w:type="spellEnd"/>
      <w:r w:rsidRPr="00B55E84">
        <w:rPr>
          <w:sz w:val="22"/>
          <w:szCs w:val="22"/>
          <w:lang w:val="de-AT" w:eastAsia="en-US"/>
        </w:rPr>
        <w:t xml:space="preserve"> und/oder Kinder bilden vielfach einen wesentlichen Faktor der Migrationsentscheidung. Dies bedeutet, dass regionalen infrastrukturellen und sozialen Rahmenbedingungen besondere Bedeutung für die nachhaltige Integration (hoch-)qualifizierter </w:t>
      </w:r>
      <w:proofErr w:type="spellStart"/>
      <w:r w:rsidRPr="00B55E84">
        <w:rPr>
          <w:sz w:val="22"/>
          <w:szCs w:val="22"/>
          <w:lang w:val="de-AT" w:eastAsia="en-US"/>
        </w:rPr>
        <w:t>ZuwanderInnen</w:t>
      </w:r>
      <w:proofErr w:type="spellEnd"/>
      <w:r w:rsidRPr="00B55E84">
        <w:rPr>
          <w:sz w:val="22"/>
          <w:szCs w:val="22"/>
          <w:lang w:val="de-AT" w:eastAsia="en-US"/>
        </w:rPr>
        <w:t xml:space="preserve"> zukommt. Die Analyse versteht sich als Diskussionsbeitrag zum „human </w:t>
      </w:r>
      <w:proofErr w:type="spellStart"/>
      <w:r w:rsidRPr="00B55E84">
        <w:rPr>
          <w:sz w:val="22"/>
          <w:szCs w:val="22"/>
          <w:lang w:val="de-AT" w:eastAsia="en-US"/>
        </w:rPr>
        <w:t>face</w:t>
      </w:r>
      <w:proofErr w:type="spellEnd"/>
      <w:r w:rsidRPr="00B55E84">
        <w:rPr>
          <w:sz w:val="22"/>
          <w:szCs w:val="22"/>
          <w:lang w:val="de-AT" w:eastAsia="en-US"/>
        </w:rPr>
        <w:t>“ (hoch-)qualifizier</w:t>
      </w:r>
      <w:r>
        <w:rPr>
          <w:sz w:val="22"/>
          <w:szCs w:val="22"/>
          <w:lang w:val="de-AT" w:eastAsia="en-US"/>
        </w:rPr>
        <w:t xml:space="preserve">ter </w:t>
      </w:r>
      <w:proofErr w:type="spellStart"/>
      <w:r>
        <w:rPr>
          <w:sz w:val="22"/>
          <w:szCs w:val="22"/>
          <w:lang w:val="de-AT" w:eastAsia="en-US"/>
        </w:rPr>
        <w:t>MigrantInnen</w:t>
      </w:r>
      <w:proofErr w:type="spellEnd"/>
      <w:r>
        <w:rPr>
          <w:sz w:val="22"/>
          <w:szCs w:val="22"/>
          <w:lang w:val="de-AT" w:eastAsia="en-US"/>
        </w:rPr>
        <w:t xml:space="preserve"> und den system</w:t>
      </w:r>
      <w:r w:rsidRPr="00B55E84">
        <w:rPr>
          <w:sz w:val="22"/>
          <w:szCs w:val="22"/>
          <w:lang w:val="de-AT" w:eastAsia="en-US"/>
        </w:rPr>
        <w:t>isch-gesellschaftlichen Wechselwirkungen auf kommunaler und regionaler Ebene von Zielländern.</w:t>
      </w:r>
    </w:p>
    <w:p w:rsidR="00B55E84" w:rsidRPr="00AC70CA" w:rsidRDefault="00B55E84" w:rsidP="00AC70CA">
      <w:pPr>
        <w:spacing w:before="0" w:after="0" w:line="276" w:lineRule="auto"/>
        <w:jc w:val="both"/>
        <w:rPr>
          <w:b/>
          <w:sz w:val="22"/>
          <w:szCs w:val="22"/>
          <w:lang w:val="de-DE" w:eastAsia="de-AT"/>
        </w:rPr>
      </w:pPr>
    </w:p>
    <w:p w:rsidR="006F5A3B" w:rsidRPr="0042600F" w:rsidRDefault="006F5A3B" w:rsidP="00AC70CA">
      <w:pPr>
        <w:spacing w:before="0" w:after="0" w:line="276" w:lineRule="auto"/>
        <w:jc w:val="both"/>
        <w:rPr>
          <w:b/>
          <w:sz w:val="22"/>
          <w:szCs w:val="22"/>
        </w:rPr>
      </w:pPr>
      <w:proofErr w:type="spellStart"/>
      <w:r w:rsidRPr="0042600F">
        <w:rPr>
          <w:b/>
          <w:sz w:val="22"/>
          <w:szCs w:val="22"/>
          <w:lang w:eastAsia="de-AT"/>
        </w:rPr>
        <w:t>Quellen</w:t>
      </w:r>
      <w:proofErr w:type="spellEnd"/>
      <w:r w:rsidRPr="0042600F">
        <w:rPr>
          <w:b/>
          <w:sz w:val="22"/>
          <w:szCs w:val="22"/>
          <w:lang w:eastAsia="de-AT"/>
        </w:rPr>
        <w:t>:</w:t>
      </w:r>
    </w:p>
    <w:p w:rsidR="00B55E84" w:rsidRPr="00B55E84" w:rsidRDefault="00B55E84" w:rsidP="00B55E84">
      <w:pPr>
        <w:spacing w:before="0" w:after="0" w:line="276" w:lineRule="auto"/>
        <w:ind w:left="284" w:hanging="284"/>
        <w:jc w:val="both"/>
        <w:rPr>
          <w:sz w:val="22"/>
          <w:szCs w:val="22"/>
        </w:rPr>
      </w:pPr>
      <w:r w:rsidRPr="00B55E84">
        <w:rPr>
          <w:sz w:val="22"/>
          <w:szCs w:val="22"/>
        </w:rPr>
        <w:t>Favell, Adrian/</w:t>
      </w:r>
      <w:proofErr w:type="spellStart"/>
      <w:r w:rsidRPr="00B55E84">
        <w:rPr>
          <w:sz w:val="22"/>
          <w:szCs w:val="22"/>
        </w:rPr>
        <w:t>Feldblum</w:t>
      </w:r>
      <w:proofErr w:type="spellEnd"/>
      <w:r w:rsidRPr="00B55E84">
        <w:rPr>
          <w:sz w:val="22"/>
          <w:szCs w:val="22"/>
        </w:rPr>
        <w:t>, Miriam/Smith, Michael Peter (2006) The Human Face of Global Mobility: A Research Agenda. Smith, Michael Peter/Favell, Adrian (</w:t>
      </w:r>
      <w:proofErr w:type="spellStart"/>
      <w:r w:rsidRPr="00B55E84">
        <w:rPr>
          <w:sz w:val="22"/>
          <w:szCs w:val="22"/>
        </w:rPr>
        <w:t>Hrsg</w:t>
      </w:r>
      <w:proofErr w:type="spellEnd"/>
      <w:r w:rsidRPr="00B55E84">
        <w:rPr>
          <w:sz w:val="22"/>
          <w:szCs w:val="22"/>
        </w:rPr>
        <w:t>.) The human face of global mobility</w:t>
      </w:r>
      <w:bookmarkStart w:id="0" w:name="_GoBack"/>
      <w:bookmarkEnd w:id="0"/>
      <w:r w:rsidRPr="00B55E84">
        <w:rPr>
          <w:sz w:val="22"/>
          <w:szCs w:val="22"/>
        </w:rPr>
        <w:t>: international highly skilled migration in Europe, North America and the Asia-Pacific. New York, 1-28.</w:t>
      </w:r>
    </w:p>
    <w:p w:rsidR="00B55E84" w:rsidRPr="00B55E84" w:rsidRDefault="00B55E84" w:rsidP="00B55E84">
      <w:pPr>
        <w:spacing w:before="0" w:after="0" w:line="276" w:lineRule="auto"/>
        <w:ind w:left="284" w:hanging="284"/>
        <w:jc w:val="both"/>
        <w:rPr>
          <w:sz w:val="22"/>
          <w:szCs w:val="22"/>
        </w:rPr>
      </w:pPr>
      <w:proofErr w:type="spellStart"/>
      <w:r w:rsidRPr="00B55E84">
        <w:rPr>
          <w:sz w:val="22"/>
          <w:szCs w:val="22"/>
        </w:rPr>
        <w:t>Föbker</w:t>
      </w:r>
      <w:proofErr w:type="spellEnd"/>
      <w:r w:rsidRPr="00B55E84">
        <w:rPr>
          <w:sz w:val="22"/>
          <w:szCs w:val="22"/>
        </w:rPr>
        <w:t>, Stefanie/Imani, Daniela/Nipper, Josef/Otto, Marius/</w:t>
      </w:r>
      <w:proofErr w:type="spellStart"/>
      <w:r w:rsidRPr="00B55E84">
        <w:rPr>
          <w:sz w:val="22"/>
          <w:szCs w:val="22"/>
        </w:rPr>
        <w:t>Pfaffenbach</w:t>
      </w:r>
      <w:proofErr w:type="spellEnd"/>
      <w:r w:rsidRPr="00B55E84">
        <w:rPr>
          <w:sz w:val="22"/>
          <w:szCs w:val="22"/>
        </w:rPr>
        <w:t xml:space="preserve">, Carmella (2016) </w:t>
      </w:r>
      <w:proofErr w:type="spellStart"/>
      <w:r w:rsidRPr="00B55E84">
        <w:rPr>
          <w:sz w:val="22"/>
          <w:szCs w:val="22"/>
        </w:rPr>
        <w:t>Translocal</w:t>
      </w:r>
      <w:proofErr w:type="spellEnd"/>
      <w:r w:rsidRPr="00B55E84">
        <w:rPr>
          <w:sz w:val="22"/>
          <w:szCs w:val="22"/>
        </w:rPr>
        <w:t xml:space="preserve"> life and integration of </w:t>
      </w:r>
      <w:proofErr w:type="gramStart"/>
      <w:r w:rsidRPr="00B55E84">
        <w:rPr>
          <w:sz w:val="22"/>
          <w:szCs w:val="22"/>
        </w:rPr>
        <w:t>highly-skilled</w:t>
      </w:r>
      <w:proofErr w:type="gramEnd"/>
      <w:r w:rsidRPr="00B55E84">
        <w:rPr>
          <w:sz w:val="22"/>
          <w:szCs w:val="22"/>
        </w:rPr>
        <w:t xml:space="preserve"> migrants in Germany. </w:t>
      </w:r>
      <w:proofErr w:type="spellStart"/>
      <w:r w:rsidRPr="00B55E84">
        <w:rPr>
          <w:sz w:val="22"/>
          <w:szCs w:val="22"/>
        </w:rPr>
        <w:t>Erdkunde</w:t>
      </w:r>
      <w:proofErr w:type="spellEnd"/>
      <w:r w:rsidRPr="00B55E84">
        <w:rPr>
          <w:sz w:val="22"/>
          <w:szCs w:val="22"/>
        </w:rPr>
        <w:t xml:space="preserve"> 70(2), S. 109-124.</w:t>
      </w:r>
    </w:p>
    <w:p w:rsidR="00B55E84" w:rsidRPr="00B55E84" w:rsidRDefault="00B55E84" w:rsidP="00B55E84">
      <w:pPr>
        <w:spacing w:before="0" w:after="0" w:line="276" w:lineRule="auto"/>
        <w:ind w:left="284" w:hanging="284"/>
        <w:jc w:val="both"/>
        <w:rPr>
          <w:sz w:val="22"/>
          <w:szCs w:val="22"/>
        </w:rPr>
      </w:pPr>
      <w:r w:rsidRPr="00B55E84">
        <w:rPr>
          <w:sz w:val="22"/>
          <w:szCs w:val="22"/>
        </w:rPr>
        <w:t>Kilpatrick, Sue/Johns, Susan/</w:t>
      </w:r>
      <w:proofErr w:type="spellStart"/>
      <w:r w:rsidRPr="00B55E84">
        <w:rPr>
          <w:sz w:val="22"/>
          <w:szCs w:val="22"/>
        </w:rPr>
        <w:t>Vitartas</w:t>
      </w:r>
      <w:proofErr w:type="spellEnd"/>
      <w:r w:rsidRPr="00B55E84">
        <w:rPr>
          <w:sz w:val="22"/>
          <w:szCs w:val="22"/>
        </w:rPr>
        <w:t xml:space="preserve">, </w:t>
      </w:r>
      <w:proofErr w:type="gramStart"/>
      <w:r w:rsidRPr="00B55E84">
        <w:rPr>
          <w:sz w:val="22"/>
          <w:szCs w:val="22"/>
        </w:rPr>
        <w:t>Peter</w:t>
      </w:r>
      <w:proofErr w:type="gramEnd"/>
      <w:r w:rsidRPr="00B55E84">
        <w:rPr>
          <w:sz w:val="22"/>
          <w:szCs w:val="22"/>
        </w:rPr>
        <w:t>/</w:t>
      </w:r>
      <w:proofErr w:type="spellStart"/>
      <w:r w:rsidRPr="00B55E84">
        <w:rPr>
          <w:sz w:val="22"/>
          <w:szCs w:val="22"/>
        </w:rPr>
        <w:t>Homisan</w:t>
      </w:r>
      <w:proofErr w:type="spellEnd"/>
      <w:r w:rsidRPr="00B55E84">
        <w:rPr>
          <w:sz w:val="22"/>
          <w:szCs w:val="22"/>
        </w:rPr>
        <w:t>, Martin (2011) Mobile skilled workers: Making the most of an untapped rural community resource. Journal of Rural Studies 27, S. 181-190.</w:t>
      </w:r>
    </w:p>
    <w:p w:rsidR="00423D96" w:rsidRPr="00AC70CA" w:rsidRDefault="00B55E84" w:rsidP="00B55E84">
      <w:pPr>
        <w:spacing w:before="0" w:after="0" w:line="276" w:lineRule="auto"/>
        <w:ind w:left="284" w:hanging="284"/>
        <w:jc w:val="both"/>
        <w:rPr>
          <w:sz w:val="22"/>
          <w:szCs w:val="22"/>
          <w:lang w:val="de-AT" w:eastAsia="en-US"/>
        </w:rPr>
      </w:pPr>
      <w:proofErr w:type="spellStart"/>
      <w:r w:rsidRPr="00B55E84">
        <w:rPr>
          <w:sz w:val="22"/>
          <w:szCs w:val="22"/>
        </w:rPr>
        <w:t>Wickramaarachchi</w:t>
      </w:r>
      <w:proofErr w:type="spellEnd"/>
      <w:r w:rsidRPr="00B55E84">
        <w:rPr>
          <w:sz w:val="22"/>
          <w:szCs w:val="22"/>
        </w:rPr>
        <w:t xml:space="preserve">, </w:t>
      </w:r>
      <w:proofErr w:type="spellStart"/>
      <w:r w:rsidRPr="00B55E84">
        <w:rPr>
          <w:sz w:val="22"/>
          <w:szCs w:val="22"/>
        </w:rPr>
        <w:t>Naduni</w:t>
      </w:r>
      <w:proofErr w:type="spellEnd"/>
      <w:r w:rsidRPr="00B55E84">
        <w:rPr>
          <w:sz w:val="22"/>
          <w:szCs w:val="22"/>
        </w:rPr>
        <w:t xml:space="preserve">/Butt, Andrew (2014) </w:t>
      </w:r>
      <w:proofErr w:type="spellStart"/>
      <w:r w:rsidRPr="00B55E84">
        <w:rPr>
          <w:sz w:val="22"/>
          <w:szCs w:val="22"/>
        </w:rPr>
        <w:t>Motiviations</w:t>
      </w:r>
      <w:proofErr w:type="spellEnd"/>
      <w:r w:rsidRPr="00B55E84">
        <w:rPr>
          <w:sz w:val="22"/>
          <w:szCs w:val="22"/>
        </w:rPr>
        <w:t xml:space="preserve"> for retention and mobility: Pathways of skilled migrants in regional Victoria, Australia. Rural Society 23(2), S. 188-197.</w:t>
      </w:r>
    </w:p>
    <w:sectPr w:rsidR="00423D96" w:rsidRPr="00AC70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3B"/>
    <w:rsid w:val="00354CA0"/>
    <w:rsid w:val="0042600F"/>
    <w:rsid w:val="006F5A3B"/>
    <w:rsid w:val="00A0072A"/>
    <w:rsid w:val="00AC70CA"/>
    <w:rsid w:val="00B45FDE"/>
    <w:rsid w:val="00B55E84"/>
    <w:rsid w:val="00CD2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A7DA0-676C-4D1E-A53E-8BFEEEB4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5A3B"/>
    <w:pPr>
      <w:spacing w:before="120" w:after="120" w:line="240" w:lineRule="atLeast"/>
    </w:pPr>
    <w:rPr>
      <w:rFonts w:ascii="Calibri" w:eastAsia="Times New Roman" w:hAnsi="Calibri" w:cs="Times New Roman"/>
      <w:sz w:val="24"/>
      <w:szCs w:val="20"/>
      <w:lang w:val="en-GB"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6</cp:revision>
  <dcterms:created xsi:type="dcterms:W3CDTF">2018-06-19T08:47:00Z</dcterms:created>
  <dcterms:modified xsi:type="dcterms:W3CDTF">2018-09-19T12:27:00Z</dcterms:modified>
</cp:coreProperties>
</file>