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278" w:rsidRDefault="00522278" w:rsidP="002D677E">
      <w:pPr>
        <w:spacing w:after="0"/>
        <w:jc w:val="both"/>
        <w:rPr>
          <w:rFonts w:eastAsia="Calibri"/>
        </w:rPr>
      </w:pPr>
      <w:r w:rsidRPr="00522278">
        <w:rPr>
          <w:rFonts w:eastAsia="Calibri"/>
        </w:rPr>
        <w:t>Jun.-Prof. Dr. Christine Czinglar</w:t>
      </w:r>
      <w:r w:rsidR="00485E51" w:rsidRPr="00485E51">
        <w:rPr>
          <w:rFonts w:eastAsia="Calibri"/>
        </w:rPr>
        <w:t xml:space="preserve">, Anne Christin Schumacher, </w:t>
      </w:r>
      <w:proofErr w:type="spellStart"/>
      <w:r w:rsidR="00485E51" w:rsidRPr="00485E51">
        <w:rPr>
          <w:rFonts w:eastAsia="Calibri"/>
        </w:rPr>
        <w:t>Farzona</w:t>
      </w:r>
      <w:proofErr w:type="spellEnd"/>
      <w:r w:rsidR="00485E51" w:rsidRPr="00485E51">
        <w:rPr>
          <w:rFonts w:eastAsia="Calibri"/>
        </w:rPr>
        <w:t xml:space="preserve"> </w:t>
      </w:r>
      <w:proofErr w:type="spellStart"/>
      <w:r w:rsidR="00485E51" w:rsidRPr="00485E51">
        <w:rPr>
          <w:rFonts w:eastAsia="Calibri"/>
        </w:rPr>
        <w:t>Mirova</w:t>
      </w:r>
      <w:proofErr w:type="spellEnd"/>
      <w:r w:rsidR="00485E51" w:rsidRPr="00485E51">
        <w:rPr>
          <w:rFonts w:eastAsia="Calibri"/>
        </w:rPr>
        <w:t xml:space="preserve"> (</w:t>
      </w:r>
      <w:bookmarkStart w:id="0" w:name="_GoBack"/>
      <w:bookmarkEnd w:id="0"/>
      <w:r w:rsidR="00485E51" w:rsidRPr="00485E51">
        <w:rPr>
          <w:rFonts w:eastAsia="Calibri"/>
        </w:rPr>
        <w:t xml:space="preserve">Universität Kassel) und Sarah </w:t>
      </w:r>
      <w:proofErr w:type="spellStart"/>
      <w:r w:rsidR="00485E51" w:rsidRPr="00485E51">
        <w:rPr>
          <w:rFonts w:eastAsia="Calibri"/>
        </w:rPr>
        <w:t>Faseli</w:t>
      </w:r>
      <w:proofErr w:type="spellEnd"/>
      <w:r w:rsidR="00485E51" w:rsidRPr="00485E51">
        <w:rPr>
          <w:rFonts w:eastAsia="Calibri"/>
        </w:rPr>
        <w:t xml:space="preserve"> (Universität Kabul)</w:t>
      </w:r>
    </w:p>
    <w:p w:rsidR="00522278" w:rsidRPr="00522278" w:rsidRDefault="00522278" w:rsidP="002D677E">
      <w:pPr>
        <w:spacing w:after="0"/>
        <w:jc w:val="both"/>
        <w:rPr>
          <w:rFonts w:eastAsia="Calibri"/>
        </w:rPr>
      </w:pPr>
    </w:p>
    <w:p w:rsidR="00FC3A67" w:rsidRDefault="00FC3A67" w:rsidP="002D677E">
      <w:pPr>
        <w:spacing w:after="0"/>
        <w:jc w:val="both"/>
        <w:rPr>
          <w:b/>
          <w:bCs/>
        </w:rPr>
      </w:pPr>
      <w:proofErr w:type="spellStart"/>
      <w:r w:rsidRPr="00522278">
        <w:rPr>
          <w:b/>
          <w:bCs/>
        </w:rPr>
        <w:t>Literale</w:t>
      </w:r>
      <w:proofErr w:type="spellEnd"/>
      <w:r w:rsidRPr="00522278">
        <w:rPr>
          <w:b/>
          <w:bCs/>
        </w:rPr>
        <w:t xml:space="preserve"> Kompetenzen und Deutscherwerb bei geflüchteten afghanischen Jugendlichen mit Erstsprache Dari</w:t>
      </w:r>
    </w:p>
    <w:p w:rsidR="00522278" w:rsidRPr="00522278" w:rsidRDefault="00522278" w:rsidP="002D677E">
      <w:pPr>
        <w:spacing w:after="0"/>
        <w:jc w:val="both"/>
        <w:rPr>
          <w:b/>
          <w:bCs/>
        </w:rPr>
      </w:pPr>
    </w:p>
    <w:p w:rsidR="00FC3A67" w:rsidRPr="00522278" w:rsidRDefault="00FC3A67" w:rsidP="002D677E">
      <w:pPr>
        <w:spacing w:after="0"/>
        <w:jc w:val="both"/>
        <w:rPr>
          <w:rFonts w:eastAsia="Times New Roman"/>
          <w:lang w:eastAsia="de-DE"/>
        </w:rPr>
      </w:pPr>
      <w:r w:rsidRPr="00522278">
        <w:t xml:space="preserve">Obwohl Flucht und Migration von Jugendlichen und die Integration von </w:t>
      </w:r>
      <w:proofErr w:type="spellStart"/>
      <w:r w:rsidRPr="00522278">
        <w:t>SeiteneinsteigerInnen</w:t>
      </w:r>
      <w:proofErr w:type="spellEnd"/>
      <w:r w:rsidRPr="00522278">
        <w:t xml:space="preserve"> ins Schulsystem keine neuen Phänomene sind, gibt es erstaunlich wenig Studien darüber, wie Jugendliche mit geringen </w:t>
      </w:r>
      <w:proofErr w:type="spellStart"/>
      <w:r w:rsidRPr="00522278">
        <w:t>literalen</w:t>
      </w:r>
      <w:proofErr w:type="spellEnd"/>
      <w:r w:rsidRPr="00522278">
        <w:t xml:space="preserve"> Kompetenzen (</w:t>
      </w:r>
      <w:proofErr w:type="spellStart"/>
      <w:r w:rsidRPr="00522278">
        <w:rPr>
          <w:i/>
        </w:rPr>
        <w:t>low-literate</w:t>
      </w:r>
      <w:proofErr w:type="spellEnd"/>
      <w:r w:rsidRPr="00522278">
        <w:t>) oder wenig Schulbildung (</w:t>
      </w:r>
      <w:proofErr w:type="spellStart"/>
      <w:r w:rsidRPr="00522278">
        <w:rPr>
          <w:i/>
        </w:rPr>
        <w:t>low-educated</w:t>
      </w:r>
      <w:proofErr w:type="spellEnd"/>
      <w:r w:rsidRPr="00522278">
        <w:t xml:space="preserve">) eine Zweitsprache erwerben (z.B. </w:t>
      </w:r>
      <w:r w:rsidRPr="00522278">
        <w:rPr>
          <w:noProof/>
        </w:rPr>
        <w:t>Young-Scholten 2013</w:t>
      </w:r>
      <w:r w:rsidRPr="00522278">
        <w:t xml:space="preserve">, </w:t>
      </w:r>
      <w:r w:rsidRPr="00522278">
        <w:rPr>
          <w:noProof/>
        </w:rPr>
        <w:t>Tarone &amp; Bigelow 2012</w:t>
      </w:r>
      <w:r w:rsidRPr="00522278">
        <w:t>). Im Unterschied zu</w:t>
      </w:r>
      <w:r w:rsidRPr="00522278">
        <w:rPr>
          <w:rFonts w:cs="Arial"/>
        </w:rPr>
        <w:t xml:space="preserve"> sukzessiv bilingualen Kindern mit Migrationshintergrund, die bis zum Alter von vier Jahren z.B. die Verbstellung im Deutschen ähnlich erwerben wie </w:t>
      </w:r>
      <w:proofErr w:type="spellStart"/>
      <w:r w:rsidRPr="00522278">
        <w:rPr>
          <w:rFonts w:cs="Arial"/>
        </w:rPr>
        <w:t>monolinguale</w:t>
      </w:r>
      <w:proofErr w:type="spellEnd"/>
      <w:r w:rsidRPr="00522278">
        <w:rPr>
          <w:rFonts w:cs="Arial"/>
        </w:rPr>
        <w:t xml:space="preserve"> Kinder (</w:t>
      </w:r>
      <w:r w:rsidRPr="00522278">
        <w:rPr>
          <w:rFonts w:cs="Arial"/>
          <w:noProof/>
        </w:rPr>
        <w:t>z.B. Rothweiler 2016, Czinglar et al. in Vorb.</w:t>
      </w:r>
      <w:r w:rsidRPr="00522278">
        <w:rPr>
          <w:rFonts w:cs="Arial"/>
        </w:rPr>
        <w:t xml:space="preserve">), durchlaufen Jugendliche dieselben Erwerbssequenzen wie Erwachsene (z.B. </w:t>
      </w:r>
      <w:r w:rsidRPr="00522278">
        <w:rPr>
          <w:rFonts w:cs="Arial"/>
          <w:noProof/>
        </w:rPr>
        <w:t>Czinglar 2014</w:t>
      </w:r>
      <w:r w:rsidRPr="00522278">
        <w:rPr>
          <w:rFonts w:cs="Arial"/>
        </w:rPr>
        <w:t xml:space="preserve">). </w:t>
      </w:r>
      <w:r w:rsidRPr="00522278">
        <w:t xml:space="preserve">In Bezug auf die Erwerbsgeschwindigkeit zeigt sich jedoch bei Jugendlichen ein sehr heterogenes Bild, das auch mit Schulbildung und </w:t>
      </w:r>
      <w:proofErr w:type="spellStart"/>
      <w:r w:rsidRPr="00522278">
        <w:t>literalen</w:t>
      </w:r>
      <w:proofErr w:type="spellEnd"/>
      <w:r w:rsidRPr="00522278">
        <w:t xml:space="preserve"> Erfahrungen in Ve</w:t>
      </w:r>
      <w:r w:rsidR="002D677E">
        <w:t>rbindung steht (Czinglar 2018).</w:t>
      </w:r>
    </w:p>
    <w:p w:rsidR="00FC3A67" w:rsidRDefault="00FC3A67" w:rsidP="002D677E">
      <w:pPr>
        <w:spacing w:after="0"/>
        <w:jc w:val="both"/>
      </w:pPr>
      <w:r w:rsidRPr="00522278">
        <w:t>Der Vortrag zeigt anhand von zwei Fallstudien zur Entwicklung der Verbstellung bei zwei unbegleiteten minderjährigen Flüchtlingen aus Afghanistan, wie sehr sich die Erwerbsgeschwindigkeit bei scheinbar ähnlichen Voraussetzungen (u.a. Unterbringung in derselben Einrichtung, ähnliche Inputsituation, Motivation Deutsch zu lernen) unterscheiden kann. Bei näherer Untersuchung der tatsächlich vorhandenen Lese- und Schreibfähigkeiten in der Erstsprache Dari sowie in der Zweitsprache Deutsch anhand des in Kassel entwickelten Instruments LIT-L1-L2 (</w:t>
      </w:r>
      <w:r w:rsidRPr="00522278">
        <w:rPr>
          <w:rFonts w:cstheme="minorHAnsi"/>
        </w:rPr>
        <w:t>Schumacher et al. in Druck</w:t>
      </w:r>
      <w:r w:rsidRPr="00522278">
        <w:t xml:space="preserve">), zeigen sich entscheidende Unterschiede zwischen den beiden Lernern. Diese Ergebnisse werden im Hinblick auf die Hypothese diskutiert, dass </w:t>
      </w:r>
      <w:proofErr w:type="spellStart"/>
      <w:r w:rsidRPr="00522278">
        <w:t>literale</w:t>
      </w:r>
      <w:proofErr w:type="spellEnd"/>
      <w:r w:rsidRPr="00522278">
        <w:t xml:space="preserve"> Kompetenzen im engeren Sinn mit höheren metalinguistischen Fähigkeiten einhergehen, die es </w:t>
      </w:r>
      <w:proofErr w:type="spellStart"/>
      <w:r w:rsidRPr="00522278">
        <w:t>LernerInnen</w:t>
      </w:r>
      <w:proofErr w:type="spellEnd"/>
      <w:r w:rsidRPr="00522278">
        <w:t xml:space="preserve"> erleichtern, auch im mündlichen L2-Erwerb auf formalgrammatische Eigenschaften der Zielsprache zu fokussieren</w:t>
      </w:r>
      <w:r w:rsidRPr="00522278">
        <w:rPr>
          <w:bCs/>
        </w:rPr>
        <w:t xml:space="preserve"> und nicht nur konzeptuell-semantische </w:t>
      </w:r>
      <w:r w:rsidR="006618C3">
        <w:rPr>
          <w:bCs/>
        </w:rPr>
        <w:t>Informationen im Blick zu haben</w:t>
      </w:r>
      <w:r w:rsidRPr="00522278">
        <w:rPr>
          <w:bCs/>
        </w:rPr>
        <w:t xml:space="preserve"> </w:t>
      </w:r>
      <w:r w:rsidRPr="00522278">
        <w:t>(</w:t>
      </w:r>
      <w:proofErr w:type="spellStart"/>
      <w:r w:rsidRPr="00522278">
        <w:t>Bredel</w:t>
      </w:r>
      <w:proofErr w:type="spellEnd"/>
      <w:r w:rsidRPr="00522278">
        <w:t xml:space="preserve"> 2007; </w:t>
      </w:r>
      <w:proofErr w:type="spellStart"/>
      <w:r w:rsidRPr="00522278">
        <w:t>Tarone</w:t>
      </w:r>
      <w:proofErr w:type="spellEnd"/>
      <w:r w:rsidRPr="00522278">
        <w:t>, Bigelow &amp; Hansen 2009; Krafft 2013).</w:t>
      </w:r>
    </w:p>
    <w:p w:rsidR="00522278" w:rsidRPr="00522278" w:rsidRDefault="00522278" w:rsidP="002D677E">
      <w:pPr>
        <w:spacing w:after="0"/>
        <w:jc w:val="both"/>
        <w:rPr>
          <w:lang w:val="de-DE"/>
        </w:rPr>
      </w:pPr>
    </w:p>
    <w:p w:rsidR="00FC3A67" w:rsidRPr="00522278" w:rsidRDefault="00FC3A67" w:rsidP="002D677E">
      <w:pPr>
        <w:autoSpaceDE w:val="0"/>
        <w:autoSpaceDN w:val="0"/>
        <w:adjustRightInd w:val="0"/>
        <w:spacing w:after="0"/>
        <w:ind w:left="567" w:hanging="567"/>
        <w:jc w:val="both"/>
        <w:rPr>
          <w:rFonts w:cs="Segoe UI"/>
          <w:b/>
          <w:lang w:val="de-DE"/>
        </w:rPr>
      </w:pPr>
      <w:r w:rsidRPr="00522278">
        <w:rPr>
          <w:rFonts w:cs="Segoe UI"/>
          <w:b/>
        </w:rPr>
        <w:t>Literatur</w:t>
      </w:r>
    </w:p>
    <w:p w:rsidR="00FC3A67" w:rsidRPr="00522278" w:rsidRDefault="00FC3A67" w:rsidP="002D677E">
      <w:pPr>
        <w:autoSpaceDE w:val="0"/>
        <w:autoSpaceDN w:val="0"/>
        <w:adjustRightInd w:val="0"/>
        <w:spacing w:after="0"/>
        <w:ind w:left="567" w:hanging="567"/>
        <w:jc w:val="both"/>
        <w:rPr>
          <w:rFonts w:cs="Segoe UI"/>
        </w:rPr>
      </w:pPr>
      <w:proofErr w:type="spellStart"/>
      <w:r w:rsidRPr="00522278">
        <w:rPr>
          <w:rFonts w:cs="Segoe UI"/>
        </w:rPr>
        <w:t>Bredel</w:t>
      </w:r>
      <w:proofErr w:type="spellEnd"/>
      <w:r w:rsidRPr="00522278">
        <w:rPr>
          <w:rFonts w:cs="Segoe UI"/>
        </w:rPr>
        <w:t xml:space="preserve">, Ursula (2007): </w:t>
      </w:r>
      <w:r w:rsidRPr="00522278">
        <w:rPr>
          <w:rFonts w:cs="Segoe UI"/>
          <w:i/>
          <w:iCs/>
        </w:rPr>
        <w:t>Sprachbetrachtung und Grammatikunterricht</w:t>
      </w:r>
      <w:r w:rsidRPr="00522278">
        <w:rPr>
          <w:rFonts w:cs="Segoe UI"/>
        </w:rPr>
        <w:t>. Paderborn: Schöningh (UTB).</w:t>
      </w:r>
    </w:p>
    <w:p w:rsidR="00FC3A67" w:rsidRPr="00522278" w:rsidRDefault="00FC3A67" w:rsidP="002D677E">
      <w:pPr>
        <w:autoSpaceDE w:val="0"/>
        <w:autoSpaceDN w:val="0"/>
        <w:adjustRightInd w:val="0"/>
        <w:spacing w:after="0"/>
        <w:ind w:left="567" w:hanging="567"/>
        <w:jc w:val="both"/>
        <w:rPr>
          <w:rFonts w:cs="Segoe UI"/>
        </w:rPr>
      </w:pPr>
      <w:r w:rsidRPr="00522278">
        <w:rPr>
          <w:rFonts w:cs="Segoe UI"/>
        </w:rPr>
        <w:t xml:space="preserve">Czinglar, Christine (2014): </w:t>
      </w:r>
      <w:r w:rsidRPr="00522278">
        <w:rPr>
          <w:rFonts w:cs="Segoe UI"/>
          <w:i/>
          <w:iCs/>
        </w:rPr>
        <w:t>Grammatikerwerb vor und nach der Pubertät. Eine Fallstudie zur Verbstellung im Deutschen als Zweitsprache</w:t>
      </w:r>
      <w:r w:rsidRPr="00522278">
        <w:rPr>
          <w:rFonts w:cs="Segoe UI"/>
        </w:rPr>
        <w:t xml:space="preserve">. Berlin: De </w:t>
      </w:r>
      <w:proofErr w:type="spellStart"/>
      <w:r w:rsidRPr="00522278">
        <w:rPr>
          <w:rFonts w:cs="Segoe UI"/>
        </w:rPr>
        <w:t>Gruyter</w:t>
      </w:r>
      <w:proofErr w:type="spellEnd"/>
      <w:r w:rsidRPr="00522278">
        <w:rPr>
          <w:rFonts w:cs="Segoe UI"/>
        </w:rPr>
        <w:t>.</w:t>
      </w:r>
    </w:p>
    <w:p w:rsidR="00FC3A67" w:rsidRPr="00522278" w:rsidRDefault="00FC3A67" w:rsidP="002D677E">
      <w:pPr>
        <w:autoSpaceDE w:val="0"/>
        <w:autoSpaceDN w:val="0"/>
        <w:adjustRightInd w:val="0"/>
        <w:spacing w:after="0"/>
        <w:ind w:left="567" w:hanging="567"/>
        <w:jc w:val="both"/>
        <w:rPr>
          <w:rFonts w:cs="Segoe UI"/>
        </w:rPr>
      </w:pPr>
      <w:r w:rsidRPr="00522278">
        <w:rPr>
          <w:rFonts w:cs="Segoe UI"/>
        </w:rPr>
        <w:t xml:space="preserve">Czinglar, Christine (2018): Zweitspracherwerb im Jugendalter. Die Bedeutung des Alters und </w:t>
      </w:r>
      <w:proofErr w:type="spellStart"/>
      <w:r w:rsidRPr="00522278">
        <w:rPr>
          <w:rFonts w:cs="Segoe UI"/>
        </w:rPr>
        <w:t>literaler</w:t>
      </w:r>
      <w:proofErr w:type="spellEnd"/>
      <w:r w:rsidRPr="00522278">
        <w:rPr>
          <w:rFonts w:cs="Segoe UI"/>
        </w:rPr>
        <w:t xml:space="preserve"> Kompetenzen von neu zugewanderten Jugendlichen. In Nora von Dewitz, Henrike </w:t>
      </w:r>
      <w:proofErr w:type="spellStart"/>
      <w:r w:rsidRPr="00522278">
        <w:rPr>
          <w:rFonts w:cs="Segoe UI"/>
        </w:rPr>
        <w:t>Terhart</w:t>
      </w:r>
      <w:proofErr w:type="spellEnd"/>
      <w:r w:rsidRPr="00522278">
        <w:rPr>
          <w:rFonts w:cs="Segoe UI"/>
        </w:rPr>
        <w:t xml:space="preserve"> &amp; Mona </w:t>
      </w:r>
      <w:proofErr w:type="spellStart"/>
      <w:r w:rsidRPr="00522278">
        <w:rPr>
          <w:rFonts w:cs="Segoe UI"/>
        </w:rPr>
        <w:t>Massumi</w:t>
      </w:r>
      <w:proofErr w:type="spellEnd"/>
      <w:r w:rsidRPr="00522278">
        <w:rPr>
          <w:rFonts w:cs="Segoe UI"/>
        </w:rPr>
        <w:t xml:space="preserve"> (Hrsg.): </w:t>
      </w:r>
      <w:r w:rsidRPr="00522278">
        <w:rPr>
          <w:rFonts w:cs="Segoe UI"/>
          <w:i/>
          <w:iCs/>
        </w:rPr>
        <w:t>Neuzuwanderung und Bildung. Eine interdisziplinäre Perspektive auf Übergänge in das deutsche Bildungssystem</w:t>
      </w:r>
      <w:r w:rsidRPr="00522278">
        <w:rPr>
          <w:rFonts w:cs="Segoe UI"/>
        </w:rPr>
        <w:t xml:space="preserve">: Beltz </w:t>
      </w:r>
      <w:proofErr w:type="spellStart"/>
      <w:r w:rsidRPr="00522278">
        <w:rPr>
          <w:rFonts w:cs="Segoe UI"/>
        </w:rPr>
        <w:t>Juventa</w:t>
      </w:r>
      <w:proofErr w:type="spellEnd"/>
      <w:r w:rsidRPr="00522278">
        <w:rPr>
          <w:rFonts w:cs="Segoe UI"/>
        </w:rPr>
        <w:t>,</w:t>
      </w:r>
      <w:r w:rsidRPr="00522278">
        <w:rPr>
          <w:rFonts w:cs="Segoe UI"/>
          <w:b/>
          <w:bCs/>
        </w:rPr>
        <w:t xml:space="preserve"> </w:t>
      </w:r>
      <w:r w:rsidRPr="00522278">
        <w:rPr>
          <w:rFonts w:cs="Segoe UI"/>
        </w:rPr>
        <w:t>158-173.</w:t>
      </w:r>
    </w:p>
    <w:p w:rsidR="00FC3A67" w:rsidRPr="00522278" w:rsidRDefault="00FC3A67" w:rsidP="002D677E">
      <w:pPr>
        <w:autoSpaceDE w:val="0"/>
        <w:autoSpaceDN w:val="0"/>
        <w:adjustRightInd w:val="0"/>
        <w:spacing w:after="0"/>
        <w:ind w:left="567" w:hanging="567"/>
        <w:jc w:val="both"/>
        <w:rPr>
          <w:rFonts w:cs="Segoe UI"/>
        </w:rPr>
      </w:pPr>
      <w:r w:rsidRPr="00522278">
        <w:rPr>
          <w:rFonts w:cs="Segoe UI"/>
        </w:rPr>
        <w:t xml:space="preserve">Czinglar, Christine, Jan Oliver Rüdiger, Katharina Korecky-Kröll, </w:t>
      </w:r>
      <w:proofErr w:type="spellStart"/>
      <w:r w:rsidRPr="00522278">
        <w:rPr>
          <w:rFonts w:cs="Segoe UI"/>
        </w:rPr>
        <w:t>Kumru</w:t>
      </w:r>
      <w:proofErr w:type="spellEnd"/>
      <w:r w:rsidRPr="00522278">
        <w:rPr>
          <w:rFonts w:cs="Segoe UI"/>
        </w:rPr>
        <w:t xml:space="preserve"> </w:t>
      </w:r>
      <w:proofErr w:type="spellStart"/>
      <w:r w:rsidRPr="00522278">
        <w:rPr>
          <w:rFonts w:cs="Segoe UI"/>
        </w:rPr>
        <w:t>Uzunkaya</w:t>
      </w:r>
      <w:proofErr w:type="spellEnd"/>
      <w:r w:rsidRPr="00522278">
        <w:rPr>
          <w:rFonts w:cs="Segoe UI"/>
        </w:rPr>
        <w:t xml:space="preserve">-Sharma &amp; Wolfgang U. Dressler (in Vorbereitung): Inputbezogene Unterschiede im Grammatikerwerb des Deutschen bei drei- bis vierjährigen sukzessiv bilingualen Kindern mit L1 Türkisch. In Zeynep </w:t>
      </w:r>
      <w:proofErr w:type="spellStart"/>
      <w:r w:rsidRPr="00522278">
        <w:rPr>
          <w:rFonts w:cs="Segoe UI"/>
        </w:rPr>
        <w:t>Kalkavan</w:t>
      </w:r>
      <w:proofErr w:type="spellEnd"/>
      <w:r w:rsidRPr="00522278">
        <w:rPr>
          <w:rFonts w:cs="Segoe UI"/>
        </w:rPr>
        <w:t xml:space="preserve">-Aydın &amp; </w:t>
      </w:r>
      <w:proofErr w:type="spellStart"/>
      <w:r w:rsidRPr="00522278">
        <w:rPr>
          <w:rFonts w:cs="Segoe UI"/>
        </w:rPr>
        <w:t>Yazgül</w:t>
      </w:r>
      <w:proofErr w:type="spellEnd"/>
      <w:r w:rsidRPr="00522278">
        <w:rPr>
          <w:rFonts w:cs="Segoe UI"/>
        </w:rPr>
        <w:t xml:space="preserve">  </w:t>
      </w:r>
      <w:proofErr w:type="spellStart"/>
      <w:r w:rsidRPr="00522278">
        <w:rPr>
          <w:rFonts w:cs="Segoe UI"/>
        </w:rPr>
        <w:t>Șimșek</w:t>
      </w:r>
      <w:proofErr w:type="spellEnd"/>
      <w:r w:rsidRPr="00522278">
        <w:rPr>
          <w:rFonts w:cs="Segoe UI"/>
        </w:rPr>
        <w:t xml:space="preserve"> (Hrsg.): </w:t>
      </w:r>
      <w:r w:rsidRPr="00522278">
        <w:rPr>
          <w:rFonts w:cs="Segoe UI"/>
          <w:i/>
          <w:iCs/>
        </w:rPr>
        <w:t>Türkisch-deutsche Zweisprachigkeit in Deutschland</w:t>
      </w:r>
      <w:r w:rsidRPr="00522278">
        <w:rPr>
          <w:rFonts w:cs="Segoe UI"/>
        </w:rPr>
        <w:t xml:space="preserve">. Münster u.a.: </w:t>
      </w:r>
      <w:proofErr w:type="spellStart"/>
      <w:r w:rsidRPr="00522278">
        <w:rPr>
          <w:rFonts w:cs="Segoe UI"/>
        </w:rPr>
        <w:t>Waxmann</w:t>
      </w:r>
      <w:proofErr w:type="spellEnd"/>
      <w:r w:rsidRPr="00522278">
        <w:rPr>
          <w:rFonts w:cs="Segoe UI"/>
        </w:rPr>
        <w:t xml:space="preserve"> Verlag.</w:t>
      </w:r>
    </w:p>
    <w:p w:rsidR="00FC3A67" w:rsidRPr="00522278" w:rsidRDefault="00FC3A67" w:rsidP="002D677E">
      <w:pPr>
        <w:autoSpaceDE w:val="0"/>
        <w:autoSpaceDN w:val="0"/>
        <w:adjustRightInd w:val="0"/>
        <w:spacing w:after="0"/>
        <w:ind w:left="567" w:hanging="567"/>
        <w:jc w:val="both"/>
        <w:rPr>
          <w:rFonts w:cs="Segoe UI"/>
        </w:rPr>
      </w:pPr>
      <w:r w:rsidRPr="00522278">
        <w:rPr>
          <w:rFonts w:cs="Segoe UI"/>
        </w:rPr>
        <w:t xml:space="preserve">Krafft, Andreas (2014): </w:t>
      </w:r>
      <w:r w:rsidRPr="00522278">
        <w:rPr>
          <w:rFonts w:cs="Segoe UI"/>
          <w:i/>
          <w:iCs/>
        </w:rPr>
        <w:t>Zur Entwicklung metasprachlicher Fähigkeiten bei Kindern mit ein- und mehrsprachigem Hintergrund</w:t>
      </w:r>
      <w:r w:rsidRPr="00522278">
        <w:rPr>
          <w:rFonts w:cs="Segoe UI"/>
        </w:rPr>
        <w:t xml:space="preserve">. </w:t>
      </w:r>
      <w:proofErr w:type="spellStart"/>
      <w:r w:rsidRPr="00522278">
        <w:rPr>
          <w:rFonts w:cs="Segoe UI"/>
        </w:rPr>
        <w:t>Baltmannsweiler</w:t>
      </w:r>
      <w:proofErr w:type="spellEnd"/>
      <w:r w:rsidRPr="00522278">
        <w:rPr>
          <w:rFonts w:cs="Segoe UI"/>
        </w:rPr>
        <w:t>: Schneider.</w:t>
      </w:r>
    </w:p>
    <w:p w:rsidR="00FC3A67" w:rsidRPr="00522278" w:rsidRDefault="00FC3A67" w:rsidP="002D677E">
      <w:pPr>
        <w:autoSpaceDE w:val="0"/>
        <w:autoSpaceDN w:val="0"/>
        <w:adjustRightInd w:val="0"/>
        <w:spacing w:after="0"/>
        <w:ind w:left="567" w:hanging="567"/>
        <w:jc w:val="both"/>
        <w:rPr>
          <w:rFonts w:cs="Segoe UI"/>
          <w:lang w:val="en-US"/>
        </w:rPr>
      </w:pPr>
      <w:proofErr w:type="spellStart"/>
      <w:r w:rsidRPr="00522278">
        <w:rPr>
          <w:rFonts w:cs="Segoe UI"/>
        </w:rPr>
        <w:t>Rothweiler</w:t>
      </w:r>
      <w:proofErr w:type="spellEnd"/>
      <w:r w:rsidRPr="00522278">
        <w:rPr>
          <w:rFonts w:cs="Segoe UI"/>
        </w:rPr>
        <w:t xml:space="preserve">, Monika (2016): Zum Erwerb der deutschen Grammatik bei früh sequentiell zweisprachigen Kindern mit Türkisch als Erstsprache – Ergebnisse aus einem Forschungsprojekt. </w:t>
      </w:r>
      <w:r w:rsidRPr="00522278">
        <w:rPr>
          <w:rFonts w:cs="Segoe UI"/>
          <w:i/>
          <w:iCs/>
          <w:lang w:val="en-US"/>
        </w:rPr>
        <w:t xml:space="preserve">Diskurs </w:t>
      </w:r>
      <w:r w:rsidRPr="00522278">
        <w:rPr>
          <w:rFonts w:cs="Segoe UI"/>
          <w:i/>
          <w:iCs/>
          <w:lang w:val="en-US"/>
        </w:rPr>
        <w:lastRenderedPageBreak/>
        <w:t>Kindheits- und Jugendforschung/Discourse. Journal of Childhood and Adolescence Research</w:t>
      </w:r>
      <w:r w:rsidRPr="00522278">
        <w:rPr>
          <w:rFonts w:cs="Segoe UI"/>
          <w:lang w:val="en-US"/>
        </w:rPr>
        <w:t xml:space="preserve"> 1: 9-25.</w:t>
      </w:r>
    </w:p>
    <w:p w:rsidR="00FC3A67" w:rsidRPr="00522278" w:rsidRDefault="00FC3A67" w:rsidP="002D677E">
      <w:pPr>
        <w:autoSpaceDE w:val="0"/>
        <w:autoSpaceDN w:val="0"/>
        <w:adjustRightInd w:val="0"/>
        <w:spacing w:after="0"/>
        <w:ind w:left="567" w:hanging="567"/>
        <w:jc w:val="both"/>
        <w:rPr>
          <w:rFonts w:cs="Segoe UI"/>
          <w:lang w:val="de-DE"/>
        </w:rPr>
      </w:pPr>
      <w:r w:rsidRPr="00522278">
        <w:rPr>
          <w:rFonts w:cs="Segoe UI"/>
        </w:rPr>
        <w:t xml:space="preserve">Schumacher, Anne-Christin, </w:t>
      </w:r>
      <w:proofErr w:type="spellStart"/>
      <w:r w:rsidRPr="00522278">
        <w:rPr>
          <w:rFonts w:cs="Segoe UI"/>
        </w:rPr>
        <w:t>Farzona</w:t>
      </w:r>
      <w:proofErr w:type="spellEnd"/>
      <w:r w:rsidRPr="00522278">
        <w:rPr>
          <w:rFonts w:cs="Segoe UI"/>
        </w:rPr>
        <w:t xml:space="preserve"> </w:t>
      </w:r>
      <w:proofErr w:type="spellStart"/>
      <w:r w:rsidRPr="00522278">
        <w:rPr>
          <w:rFonts w:cs="Segoe UI"/>
        </w:rPr>
        <w:t>Mirova</w:t>
      </w:r>
      <w:proofErr w:type="spellEnd"/>
      <w:r w:rsidRPr="00522278">
        <w:rPr>
          <w:rFonts w:cs="Segoe UI"/>
        </w:rPr>
        <w:t xml:space="preserve"> &amp; Christine Czinglar (in Druck): Ist es möglich, </w:t>
      </w:r>
      <w:proofErr w:type="spellStart"/>
      <w:r w:rsidRPr="00522278">
        <w:rPr>
          <w:rFonts w:cs="Segoe UI"/>
        </w:rPr>
        <w:t>literale</w:t>
      </w:r>
      <w:proofErr w:type="spellEnd"/>
      <w:r w:rsidRPr="00522278">
        <w:rPr>
          <w:rFonts w:cs="Segoe UI"/>
        </w:rPr>
        <w:t xml:space="preserve"> Kompetenzen von Deutschlerner*innen ohne Kenntnis der Herkunftssprache einzuschätzen? (Arbeitstitel) Vortrag. Sektion Deutsch für Schul- und/oder Schriftungewohnte. In Thomas Studer, Malgorzata Barras, Katharina Karges &amp; et al. (Hrsg.): </w:t>
      </w:r>
      <w:r w:rsidRPr="00522278">
        <w:rPr>
          <w:rFonts w:cs="Segoe UI"/>
          <w:i/>
          <w:iCs/>
        </w:rPr>
        <w:t>Konferenzband der XVI. Internationalen Tagung der Deutschlehrerinnen und Deutschlehrer (IDT), Fribourg/Freiburg, Schweiz, 31.7.-4.8.2017</w:t>
      </w:r>
      <w:r w:rsidRPr="00522278">
        <w:rPr>
          <w:rFonts w:cs="Segoe UI"/>
        </w:rPr>
        <w:t>: Erich Schmidt Verlag.</w:t>
      </w:r>
    </w:p>
    <w:p w:rsidR="00FC3A67" w:rsidRPr="00522278" w:rsidRDefault="00FC3A67" w:rsidP="002D677E">
      <w:pPr>
        <w:autoSpaceDE w:val="0"/>
        <w:autoSpaceDN w:val="0"/>
        <w:adjustRightInd w:val="0"/>
        <w:spacing w:after="0"/>
        <w:ind w:left="567" w:hanging="567"/>
        <w:jc w:val="both"/>
        <w:rPr>
          <w:rFonts w:cs="Segoe UI"/>
          <w:lang w:val="en-US"/>
        </w:rPr>
      </w:pPr>
      <w:proofErr w:type="spellStart"/>
      <w:r w:rsidRPr="00522278">
        <w:rPr>
          <w:rFonts w:cs="Segoe UI"/>
          <w:lang w:val="en-US"/>
        </w:rPr>
        <w:t>Tarone</w:t>
      </w:r>
      <w:proofErr w:type="spellEnd"/>
      <w:r w:rsidRPr="00522278">
        <w:rPr>
          <w:rFonts w:cs="Segoe UI"/>
          <w:lang w:val="en-US"/>
        </w:rPr>
        <w:t xml:space="preserve">, Elaine, Martha Bigelow &amp; Kit Hansen (2009): </w:t>
      </w:r>
      <w:r w:rsidRPr="00522278">
        <w:rPr>
          <w:rFonts w:cs="Segoe UI"/>
          <w:i/>
          <w:iCs/>
          <w:lang w:val="en-US"/>
        </w:rPr>
        <w:t xml:space="preserve">Literacy and second language </w:t>
      </w:r>
      <w:proofErr w:type="spellStart"/>
      <w:r w:rsidRPr="00522278">
        <w:rPr>
          <w:rFonts w:cs="Segoe UI"/>
          <w:i/>
          <w:iCs/>
          <w:lang w:val="en-US"/>
        </w:rPr>
        <w:t>oracy</w:t>
      </w:r>
      <w:proofErr w:type="spellEnd"/>
      <w:r w:rsidRPr="00522278">
        <w:rPr>
          <w:rFonts w:cs="Segoe UI"/>
          <w:lang w:val="en-US"/>
        </w:rPr>
        <w:t>. Oxford New York: Oxford University Press.</w:t>
      </w:r>
    </w:p>
    <w:p w:rsidR="00FC3A67" w:rsidRPr="00522278" w:rsidRDefault="00FC3A67" w:rsidP="002D677E">
      <w:pPr>
        <w:autoSpaceDE w:val="0"/>
        <w:autoSpaceDN w:val="0"/>
        <w:adjustRightInd w:val="0"/>
        <w:spacing w:after="0"/>
        <w:ind w:left="567" w:hanging="567"/>
        <w:jc w:val="both"/>
        <w:rPr>
          <w:rFonts w:cs="Segoe UI"/>
          <w:lang w:val="en-US"/>
        </w:rPr>
      </w:pPr>
      <w:proofErr w:type="spellStart"/>
      <w:r w:rsidRPr="00522278">
        <w:rPr>
          <w:rFonts w:cs="Segoe UI"/>
          <w:lang w:val="en-US"/>
        </w:rPr>
        <w:t>Tarone</w:t>
      </w:r>
      <w:proofErr w:type="spellEnd"/>
      <w:r w:rsidRPr="00522278">
        <w:rPr>
          <w:rFonts w:cs="Segoe UI"/>
          <w:lang w:val="en-US"/>
        </w:rPr>
        <w:t xml:space="preserve">, Elaine &amp; Martha Bigelow (2012): A research agenda for second language acquisition of pre-literate and low-literate adult and adolescent learners. In Martha Bigelow &amp; Patsy </w:t>
      </w:r>
      <w:proofErr w:type="spellStart"/>
      <w:r w:rsidRPr="00522278">
        <w:rPr>
          <w:rFonts w:cs="Segoe UI"/>
          <w:lang w:val="en-US"/>
        </w:rPr>
        <w:t>Vinogradov</w:t>
      </w:r>
      <w:proofErr w:type="spellEnd"/>
      <w:r w:rsidRPr="00522278">
        <w:rPr>
          <w:rFonts w:cs="Segoe UI"/>
          <w:lang w:val="en-US"/>
        </w:rPr>
        <w:t xml:space="preserve"> (</w:t>
      </w:r>
      <w:proofErr w:type="spellStart"/>
      <w:r w:rsidRPr="00522278">
        <w:rPr>
          <w:rFonts w:cs="Segoe UI"/>
          <w:lang w:val="en-US"/>
        </w:rPr>
        <w:t>Hrsg</w:t>
      </w:r>
      <w:proofErr w:type="spellEnd"/>
      <w:r w:rsidRPr="00522278">
        <w:rPr>
          <w:rFonts w:cs="Segoe UI"/>
          <w:lang w:val="en-US"/>
        </w:rPr>
        <w:t xml:space="preserve">.): </w:t>
      </w:r>
      <w:r w:rsidRPr="00522278">
        <w:rPr>
          <w:rFonts w:cs="Segoe UI"/>
          <w:i/>
          <w:iCs/>
          <w:lang w:val="en-US"/>
        </w:rPr>
        <w:t>Proceedings of the 2011 LESLLA Symposium</w:t>
      </w:r>
      <w:r w:rsidRPr="00522278">
        <w:rPr>
          <w:rFonts w:cs="Segoe UI"/>
          <w:lang w:val="en-US"/>
        </w:rPr>
        <w:t>. Minneapolis: University of Minnesota,</w:t>
      </w:r>
      <w:r w:rsidRPr="00522278">
        <w:rPr>
          <w:rFonts w:cs="Segoe UI"/>
          <w:b/>
          <w:bCs/>
          <w:lang w:val="en-US"/>
        </w:rPr>
        <w:t xml:space="preserve"> </w:t>
      </w:r>
      <w:r w:rsidRPr="00522278">
        <w:rPr>
          <w:rFonts w:cs="Segoe UI"/>
          <w:lang w:val="en-US"/>
        </w:rPr>
        <w:t>5-26.</w:t>
      </w:r>
    </w:p>
    <w:p w:rsidR="00423D96" w:rsidRPr="00522278" w:rsidRDefault="00FC3A67" w:rsidP="002D677E">
      <w:pPr>
        <w:spacing w:after="0"/>
        <w:ind w:left="567" w:hanging="567"/>
        <w:jc w:val="both"/>
      </w:pPr>
      <w:r w:rsidRPr="00522278">
        <w:rPr>
          <w:rFonts w:cs="Segoe UI"/>
          <w:lang w:val="en-US"/>
        </w:rPr>
        <w:t>Young-</w:t>
      </w:r>
      <w:proofErr w:type="spellStart"/>
      <w:r w:rsidRPr="00522278">
        <w:rPr>
          <w:rFonts w:cs="Segoe UI"/>
          <w:lang w:val="en-US"/>
        </w:rPr>
        <w:t>Scholten</w:t>
      </w:r>
      <w:proofErr w:type="spellEnd"/>
      <w:r w:rsidRPr="00522278">
        <w:rPr>
          <w:rFonts w:cs="Segoe UI"/>
          <w:lang w:val="en-US"/>
        </w:rPr>
        <w:t xml:space="preserve">, Martha (2013): Low-educated immigrants and the social relevance of second language acquisition research. </w:t>
      </w:r>
      <w:r w:rsidRPr="00522278">
        <w:rPr>
          <w:rFonts w:cs="Segoe UI"/>
          <w:i/>
          <w:iCs/>
          <w:lang w:val="de-DE"/>
        </w:rPr>
        <w:t>Second Language Research</w:t>
      </w:r>
      <w:r w:rsidRPr="00522278">
        <w:rPr>
          <w:rFonts w:cs="Segoe UI"/>
          <w:lang w:val="de-DE"/>
        </w:rPr>
        <w:t xml:space="preserve"> 29 (4): 441-454.</w:t>
      </w:r>
    </w:p>
    <w:sectPr w:rsidR="00423D96" w:rsidRPr="005222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67"/>
    <w:rsid w:val="002D677E"/>
    <w:rsid w:val="00354CA0"/>
    <w:rsid w:val="00485E51"/>
    <w:rsid w:val="00522278"/>
    <w:rsid w:val="006618C3"/>
    <w:rsid w:val="00A0072A"/>
    <w:rsid w:val="00FC3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95743-92E6-4570-A406-0956AAE5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3A67"/>
    <w:pPr>
      <w:spacing w:after="200" w:line="276" w:lineRule="auto"/>
    </w:pPr>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4044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Österreichische Akademie der Wissenschaften</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Apostle, Katharine Anne</dc:creator>
  <cp:keywords/>
  <dc:description/>
  <cp:lastModifiedBy>Apostle, Katharine Anne</cp:lastModifiedBy>
  <cp:revision>4</cp:revision>
  <dcterms:created xsi:type="dcterms:W3CDTF">2018-06-14T09:01:00Z</dcterms:created>
  <dcterms:modified xsi:type="dcterms:W3CDTF">2018-10-01T07:37:00Z</dcterms:modified>
</cp:coreProperties>
</file>