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99" w:rsidRDefault="00EB4E99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Gudrun Biffl, Manfred Zentner, Hakan Kilic</w:t>
      </w:r>
      <w:r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(Donau-Universität Krems)</w:t>
      </w:r>
    </w:p>
    <w:p w:rsidR="00EB4E99" w:rsidRPr="00EB4E99" w:rsidRDefault="00EB4E99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</w:p>
    <w:p w:rsidR="00740244" w:rsidRPr="00EB4E99" w:rsidRDefault="00740244" w:rsidP="001775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0"/>
        <w:jc w:val="both"/>
        <w:rPr>
          <w:rFonts w:asciiTheme="minorHAnsi" w:eastAsia="Calibri" w:hAnsiTheme="minorHAnsi" w:cs="Calibri"/>
          <w:b/>
          <w:bCs/>
          <w:u w:color="0070C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b/>
          <w:bCs/>
          <w:u w:color="0070C0"/>
          <w:bdr w:val="nil"/>
          <w:lang w:val="de-DE" w:eastAsia="de-DE"/>
        </w:rPr>
        <w:t>Einstellungen, Erwartungen und Re</w:t>
      </w:r>
      <w:r w:rsidR="0033325B" w:rsidRPr="00EB4E99">
        <w:rPr>
          <w:rFonts w:asciiTheme="minorHAnsi" w:eastAsia="Calibri" w:hAnsiTheme="minorHAnsi" w:cs="Calibri"/>
          <w:b/>
          <w:bCs/>
          <w:u w:color="0070C0"/>
          <w:bdr w:val="nil"/>
          <w:lang w:val="de-DE" w:eastAsia="de-DE"/>
        </w:rPr>
        <w:t>ssourcen weiblicher Flüchtlinge.</w:t>
      </w:r>
      <w:r w:rsidRPr="00EB4E99">
        <w:rPr>
          <w:rFonts w:asciiTheme="minorHAnsi" w:eastAsia="Calibri" w:hAnsiTheme="minorHAnsi" w:cs="Calibri"/>
          <w:b/>
          <w:bCs/>
          <w:u w:color="0070C0"/>
          <w:bdr w:val="nil"/>
          <w:lang w:val="de-DE" w:eastAsia="de-DE"/>
        </w:rPr>
        <w:t xml:space="preserve"> Grundlagenstudie zu den vorhandenen und den tatsächlich wahrnehmbaren Möglichkeiten von Frauen mit Fluchterfahrung</w:t>
      </w:r>
    </w:p>
    <w:p w:rsidR="0033325B" w:rsidRPr="00EB4E99" w:rsidRDefault="0033325B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</w:p>
    <w:p w:rsidR="00740244" w:rsidRPr="00EB4E99" w:rsidRDefault="00740244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Ziel dieses Forschungsprojekt</w:t>
      </w:r>
      <w:r w:rsidR="00B43E3A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s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war es, die Ressourcen und Fähigkeiten von weiblichen Flüchtlingen qualitativ zu analysieren, um zielgruppe</w:t>
      </w:r>
      <w:r w:rsidR="00AC4D7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ngenaue Maßnahmen zur Förderung 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entwickeln zu können. Dem </w:t>
      </w:r>
      <w:proofErr w:type="spellStart"/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Capability</w:t>
      </w:r>
      <w:proofErr w:type="spellEnd"/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Approach von </w:t>
      </w:r>
      <w:proofErr w:type="spellStart"/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Amartya</w:t>
      </w:r>
      <w:proofErr w:type="spellEnd"/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Sen folgend wurden in dem Projekt nicht nur Bildungslaufbahn und Berufserfahrungen berücksichtigt, sondern auch weitere Fähigkeiten und Fertigkeiten er</w:t>
      </w:r>
      <w:r w:rsidR="00AC4D7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hoben. </w:t>
      </w:r>
      <w:proofErr w:type="spellStart"/>
      <w:r w:rsidR="00DA4B86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Weiters</w:t>
      </w:r>
      <w:proofErr w:type="spellEnd"/>
      <w:r w:rsidR="00DA4B86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wurden hemmende/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fördernde Faktoren sowohl auf individueller Ebene der Frauen als auch auf diversen Beziehungsebenen sowie </w:t>
      </w:r>
      <w:r w:rsid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in 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institutionellen Bereichen erfasst.</w:t>
      </w:r>
    </w:p>
    <w:p w:rsidR="00740244" w:rsidRPr="00EB4E99" w:rsidRDefault="00740244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Dazu wurden 35 Frauen unterschiedlichen Familienstands aus verschiedenen Herkunftsregionen und </w:t>
      </w:r>
      <w:r w:rsid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mit 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unte</w:t>
      </w:r>
      <w:r w:rsid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rschiedlichem sozio-ökonomischem und bildungs-kulturellem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Hintergrund befragt. Ebenso wurden 14 Ehemänner </w:t>
      </w:r>
      <w:r w:rsidR="007A50F1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dazu 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befragt, wie sie die Ressourcen ihre</w:t>
      </w:r>
      <w:r w:rsidR="00F57FAF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r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Part</w:t>
      </w:r>
      <w:r w:rsidR="00AC4D7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nerinnen einschätzen und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zu den individuellen und familiären Zukunftsplänen ihrer Frauen stehen. Bereits aus diesen qualitativen Ergebnissen konnte abgeleitet werden, dass die Ressourcen der Frauen nicht einfach mit der Sch</w:t>
      </w:r>
      <w:r w:rsidR="002F5D7A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ulbildung zu </w:t>
      </w:r>
      <w:r w:rsidR="0017754A">
        <w:rPr>
          <w:rFonts w:asciiTheme="minorHAnsi" w:eastAsia="Calibri" w:hAnsiTheme="minorHAnsi" w:cs="Calibri"/>
          <w:u w:color="000000"/>
          <w:bdr w:val="nil"/>
          <w:lang w:val="de-DE" w:eastAsia="de-DE"/>
        </w:rPr>
        <w:t>beschreiben sind.</w:t>
      </w:r>
    </w:p>
    <w:p w:rsidR="00740244" w:rsidRPr="00EB4E99" w:rsidRDefault="00740244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Die Interviews und Diskussionsrund</w:t>
      </w:r>
      <w:r w:rsidR="00386FE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en mit </w:t>
      </w:r>
      <w:proofErr w:type="spellStart"/>
      <w:r w:rsidR="00386FE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ExpertInnen</w:t>
      </w:r>
      <w:proofErr w:type="spellEnd"/>
      <w:r w:rsidR="00386FE3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lieferten eine umfassende Beschreibung und kritische Auseinandersetzung mit den Rahmenbedingungen weiblicher Flüchtlinge in den untersuchten Regionen (Burgenland, Niederösterreich und Wien). Darüber hinaus gewährten</w:t>
      </w:r>
      <w:r w:rsidR="00404B4D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die </w:t>
      </w:r>
      <w:proofErr w:type="spellStart"/>
      <w:r w:rsidR="00404B4D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ExpertInnen</w:t>
      </w:r>
      <w:proofErr w:type="spellEnd"/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einen Einblick in die spezifischen familiären Rahmenbedingung</w:t>
      </w:r>
      <w:r w:rsidR="0017754A">
        <w:rPr>
          <w:rFonts w:asciiTheme="minorHAnsi" w:eastAsia="Calibri" w:hAnsiTheme="minorHAnsi" w:cs="Calibri"/>
          <w:u w:color="000000"/>
          <w:bdr w:val="nil"/>
          <w:lang w:val="de-DE" w:eastAsia="de-DE"/>
        </w:rPr>
        <w:t>en von weiblichen Flüchtlingen.</w:t>
      </w:r>
    </w:p>
    <w:p w:rsidR="00740244" w:rsidRPr="0017754A" w:rsidRDefault="00404B4D" w:rsidP="001775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eastAsia="Calibri" w:hAnsiTheme="minorHAnsi" w:cs="Calibri"/>
          <w:u w:color="000000"/>
          <w:bdr w:val="nil"/>
          <w:lang w:val="de-DE" w:eastAsia="de-DE"/>
        </w:rPr>
      </w:pP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D</w:t>
      </w:r>
      <w:r w:rsidR="00740244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i</w:t>
      </w:r>
      <w:r w:rsidR="007A50F1">
        <w:rPr>
          <w:rFonts w:asciiTheme="minorHAnsi" w:eastAsia="Calibri" w:hAnsiTheme="minorHAnsi" w:cs="Calibri"/>
          <w:u w:color="000000"/>
          <w:bdr w:val="nil"/>
          <w:lang w:val="de-DE" w:eastAsia="de-DE"/>
        </w:rPr>
        <w:t>e Möglichkeit Deutsch zu lernen</w:t>
      </w:r>
      <w:r w:rsidR="00740244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ist die Grundvoraussetzung für eine erfolgreiche Teilnah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me am gesellsc</w:t>
      </w:r>
      <w:r w:rsidR="00162F6B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haftlichen Leben. </w:t>
      </w:r>
      <w:r w:rsidR="00740244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Viele Informationen und Unterstützungsan</w:t>
      </w:r>
      <w:r w:rsidR="00EF44ED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gebote sind zu allgemein/</w:t>
      </w:r>
      <w:r w:rsid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zu </w:t>
      </w:r>
      <w:r w:rsidR="00740244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wenig auf die individuellen Bedürfnisse ausgerichtet.  Die Erwartungshaltung zu den eigenen Perspektiven in Österreich ist bei den meisten Frauen wenig ausgeprägt, da der Fokus auf ihre Kinder und deren Chancen</w:t>
      </w:r>
      <w:r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>/Perspektiven</w:t>
      </w:r>
      <w:r w:rsidR="00740244" w:rsidRPr="00EB4E99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gerichtet ist. Die Unterstützung durch Ehemann oder Familie ist in </w:t>
      </w:r>
      <w:r w:rsidR="002F5D7A">
        <w:rPr>
          <w:rFonts w:asciiTheme="minorHAnsi" w:eastAsia="Calibri" w:hAnsiTheme="minorHAnsi" w:cs="Calibri"/>
          <w:u w:color="000000"/>
          <w:bdr w:val="nil"/>
          <w:lang w:val="de-DE" w:eastAsia="de-DE"/>
        </w:rPr>
        <w:t>vielen Fällen nicht</w:t>
      </w:r>
      <w:r w:rsidR="0017754A">
        <w:rPr>
          <w:rFonts w:asciiTheme="minorHAnsi" w:eastAsia="Calibri" w:hAnsiTheme="minorHAnsi" w:cs="Calibri"/>
          <w:u w:color="000000"/>
          <w:bdr w:val="nil"/>
          <w:lang w:val="de-DE" w:eastAsia="de-DE"/>
        </w:rPr>
        <w:t xml:space="preserve"> gegebe</w:t>
      </w:r>
      <w:bookmarkStart w:id="0" w:name="_GoBack"/>
      <w:bookmarkEnd w:id="0"/>
      <w:r w:rsidR="0017754A">
        <w:rPr>
          <w:rFonts w:asciiTheme="minorHAnsi" w:eastAsia="Calibri" w:hAnsiTheme="minorHAnsi" w:cs="Calibri"/>
          <w:u w:color="000000"/>
          <w:bdr w:val="nil"/>
          <w:lang w:val="de-DE" w:eastAsia="de-DE"/>
        </w:rPr>
        <w:t>n.</w:t>
      </w:r>
    </w:p>
    <w:sectPr w:rsidR="00740244" w:rsidRPr="001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4"/>
    <w:rsid w:val="001476EC"/>
    <w:rsid w:val="00162F6B"/>
    <w:rsid w:val="00166F02"/>
    <w:rsid w:val="0017754A"/>
    <w:rsid w:val="001E304A"/>
    <w:rsid w:val="00287BC5"/>
    <w:rsid w:val="002F5D7A"/>
    <w:rsid w:val="0033325B"/>
    <w:rsid w:val="00386FE3"/>
    <w:rsid w:val="00404B4D"/>
    <w:rsid w:val="00427BF8"/>
    <w:rsid w:val="00607504"/>
    <w:rsid w:val="00740244"/>
    <w:rsid w:val="007A50F1"/>
    <w:rsid w:val="009A30CC"/>
    <w:rsid w:val="00AC4D73"/>
    <w:rsid w:val="00AD2A51"/>
    <w:rsid w:val="00B43E3A"/>
    <w:rsid w:val="00CC14EC"/>
    <w:rsid w:val="00DA4B86"/>
    <w:rsid w:val="00EB4E99"/>
    <w:rsid w:val="00EF44ED"/>
    <w:rsid w:val="00F5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92A6-C78A-8049-A4D3-A967B226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244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KILIC</dc:creator>
  <cp:lastModifiedBy>Apostle, Katharine Anne</cp:lastModifiedBy>
  <cp:revision>20</cp:revision>
  <dcterms:created xsi:type="dcterms:W3CDTF">2018-06-06T06:38:00Z</dcterms:created>
  <dcterms:modified xsi:type="dcterms:W3CDTF">2018-09-13T15:21:00Z</dcterms:modified>
</cp:coreProperties>
</file>