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8666"/>
      </w:tblGrid>
      <w:tr w:rsidR="00967150" w:rsidRPr="00A56041" w:rsidTr="00967150">
        <w:trPr>
          <w:trHeight w:val="397"/>
        </w:trPr>
        <w:tc>
          <w:tcPr>
            <w:tcW w:w="9322" w:type="dxa"/>
            <w:gridSpan w:val="2"/>
            <w:vAlign w:val="center"/>
          </w:tcPr>
          <w:p w:rsidR="00967150" w:rsidRPr="00A56041" w:rsidRDefault="00967150" w:rsidP="00967150">
            <w:pPr>
              <w:spacing w:line="160" w:lineRule="exact"/>
              <w:jc w:val="center"/>
              <w:rPr>
                <w:b/>
                <w:color w:val="FF0000"/>
                <w:szCs w:val="22"/>
                <w:lang w:val="de-DE"/>
              </w:rPr>
            </w:pPr>
            <w:r>
              <w:rPr>
                <w:b/>
                <w:sz w:val="22"/>
                <w:szCs w:val="22"/>
                <w:lang w:val="en-GB"/>
              </w:rPr>
              <w:t xml:space="preserve">Michaela Zavadil </w:t>
            </w:r>
            <w:r w:rsidRPr="002F4408">
              <w:rPr>
                <w:b/>
                <w:sz w:val="22"/>
                <w:szCs w:val="22"/>
                <w:lang w:val="de-DE"/>
              </w:rPr>
              <w:t>weitere Publikationen</w:t>
            </w:r>
          </w:p>
        </w:tc>
      </w:tr>
      <w:tr w:rsidR="003E5E9B" w:rsidRPr="00A56041" w:rsidTr="00967150">
        <w:tc>
          <w:tcPr>
            <w:tcW w:w="0" w:type="auto"/>
          </w:tcPr>
          <w:p w:rsidR="003E5E9B" w:rsidRPr="00A56041" w:rsidRDefault="003E5E9B" w:rsidP="00996E1A">
            <w:pPr>
              <w:spacing w:line="160" w:lineRule="atLeast"/>
              <w:jc w:val="both"/>
              <w:rPr>
                <w:iCs/>
                <w:szCs w:val="22"/>
              </w:rPr>
            </w:pPr>
            <w:r>
              <w:rPr>
                <w:iCs/>
                <w:sz w:val="22"/>
                <w:szCs w:val="22"/>
              </w:rPr>
              <w:t>2007</w:t>
            </w:r>
          </w:p>
        </w:tc>
        <w:tc>
          <w:tcPr>
            <w:tcW w:w="8661" w:type="dxa"/>
          </w:tcPr>
          <w:p w:rsidR="003E5E9B" w:rsidRPr="00A56041" w:rsidRDefault="003E5E9B" w:rsidP="00967150">
            <w:pPr>
              <w:spacing w:before="40" w:after="40" w:line="160" w:lineRule="atLeast"/>
              <w:jc w:val="both"/>
              <w:rPr>
                <w:szCs w:val="22"/>
                <w:lang w:val="de-DE"/>
              </w:rPr>
            </w:pPr>
            <w:r w:rsidRPr="00136A81">
              <w:rPr>
                <w:sz w:val="22"/>
              </w:rPr>
              <w:t>Ein Haus für die Toten?</w:t>
            </w:r>
            <w:r>
              <w:rPr>
                <w:sz w:val="22"/>
              </w:rPr>
              <w:t xml:space="preserve"> </w:t>
            </w:r>
            <w:r w:rsidRPr="00136A81">
              <w:rPr>
                <w:sz w:val="22"/>
              </w:rPr>
              <w:t>Kammergräber mit Satteldach am mykenischen Festland</w:t>
            </w:r>
            <w:r>
              <w:rPr>
                <w:sz w:val="22"/>
              </w:rPr>
              <w:t>, in: E. Alram-Stern – G. Nightingale (Hrsg.), Keimelion. Elitenbildung und elitärer Konsum von der mykenischen Palastzeit bis zur homerischen Epoche. Akten des internationalen Kongresses vom 3. bis 5. Februar 2005 in Salzburg (Österreichische Akademie der Wissenschaften, Philosophisch-Historische Klasse, Denkschriften 350; zugl. Veröffentlichungen der Mykenischen Kommission 27), Wien 2007, 353–380.</w:t>
            </w:r>
          </w:p>
        </w:tc>
      </w:tr>
      <w:tr w:rsidR="003E5E9B" w:rsidRPr="00A56041" w:rsidTr="00967150">
        <w:tc>
          <w:tcPr>
            <w:tcW w:w="0" w:type="auto"/>
          </w:tcPr>
          <w:p w:rsidR="003E5E9B" w:rsidRPr="00A56041" w:rsidRDefault="003E5E9B" w:rsidP="00996E1A">
            <w:pPr>
              <w:spacing w:line="160" w:lineRule="atLeast"/>
              <w:jc w:val="both"/>
              <w:rPr>
                <w:iCs/>
                <w:szCs w:val="22"/>
              </w:rPr>
            </w:pPr>
            <w:r>
              <w:rPr>
                <w:iCs/>
                <w:sz w:val="22"/>
                <w:szCs w:val="22"/>
              </w:rPr>
              <w:t>2006</w:t>
            </w:r>
          </w:p>
        </w:tc>
        <w:tc>
          <w:tcPr>
            <w:tcW w:w="8661" w:type="dxa"/>
          </w:tcPr>
          <w:p w:rsidR="003E5E9B" w:rsidRPr="00A56041" w:rsidRDefault="003E5E9B" w:rsidP="00967150">
            <w:pPr>
              <w:spacing w:before="40" w:after="40" w:line="160" w:lineRule="atLeast"/>
              <w:jc w:val="both"/>
              <w:rPr>
                <w:szCs w:val="22"/>
                <w:lang w:val="de-DE"/>
              </w:rPr>
            </w:pPr>
            <w:r w:rsidRPr="00503836">
              <w:rPr>
                <w:sz w:val="22"/>
                <w:szCs w:val="22"/>
                <w:lang w:val="el-GR"/>
              </w:rPr>
              <w:t xml:space="preserve">Μυκηναϊκοί θαλαμοειδείς τάφοι με οροφή σχήματος δικλινούς στέγης, </w:t>
            </w:r>
            <w:r w:rsidRPr="0051534C">
              <w:rPr>
                <w:sz w:val="22"/>
                <w:szCs w:val="22"/>
              </w:rPr>
              <w:t>in</w:t>
            </w:r>
            <w:r w:rsidRPr="00503836">
              <w:rPr>
                <w:sz w:val="22"/>
                <w:szCs w:val="22"/>
                <w:lang w:val="el-GR"/>
              </w:rPr>
              <w:t xml:space="preserve">: Πρακτικά του </w:t>
            </w:r>
            <w:r w:rsidRPr="006C0806">
              <w:rPr>
                <w:sz w:val="22"/>
                <w:szCs w:val="22"/>
              </w:rPr>
              <w:t>Z</w:t>
            </w:r>
            <w:r w:rsidRPr="00503836">
              <w:rPr>
                <w:sz w:val="22"/>
                <w:szCs w:val="22"/>
                <w:lang w:val="el-GR"/>
              </w:rPr>
              <w:t xml:space="preserve">’ Διεθνούς Συνεδρίου Πελοποννησιακών Σπουδών, </w:t>
            </w:r>
            <w:r w:rsidRPr="0051534C">
              <w:rPr>
                <w:sz w:val="22"/>
                <w:szCs w:val="22"/>
                <w:lang w:val="el-GR"/>
              </w:rPr>
              <w:t>Πύργος</w:t>
            </w:r>
            <w:r w:rsidRPr="00503836">
              <w:rPr>
                <w:sz w:val="22"/>
                <w:szCs w:val="22"/>
                <w:lang w:val="el-GR"/>
              </w:rPr>
              <w:t xml:space="preserve"> – </w:t>
            </w:r>
            <w:r w:rsidRPr="0051534C">
              <w:rPr>
                <w:sz w:val="22"/>
                <w:szCs w:val="22"/>
                <w:lang w:val="el-GR"/>
              </w:rPr>
              <w:t>Γαστούνη</w:t>
            </w:r>
            <w:r w:rsidRPr="00503836">
              <w:rPr>
                <w:sz w:val="22"/>
                <w:szCs w:val="22"/>
                <w:lang w:val="el-GR"/>
              </w:rPr>
              <w:t xml:space="preserve"> –</w:t>
            </w:r>
            <w:r w:rsidRPr="0051534C">
              <w:rPr>
                <w:sz w:val="22"/>
                <w:szCs w:val="22"/>
                <w:lang w:val="el-GR"/>
              </w:rPr>
              <w:t xml:space="preserve"> Αμαλιάδα</w:t>
            </w:r>
            <w:r w:rsidRPr="00503836">
              <w:rPr>
                <w:sz w:val="22"/>
                <w:szCs w:val="22"/>
                <w:lang w:val="el-GR"/>
              </w:rPr>
              <w:t xml:space="preserve"> </w:t>
            </w:r>
            <w:r w:rsidRPr="0051534C">
              <w:rPr>
                <w:sz w:val="22"/>
                <w:szCs w:val="22"/>
                <w:lang w:val="el-GR"/>
              </w:rPr>
              <w:t>11</w:t>
            </w:r>
            <w:r w:rsidRPr="00503836">
              <w:rPr>
                <w:sz w:val="22"/>
                <w:szCs w:val="22"/>
                <w:lang w:val="el-GR"/>
              </w:rPr>
              <w:t>–1</w:t>
            </w:r>
            <w:r w:rsidRPr="0051534C">
              <w:rPr>
                <w:sz w:val="22"/>
                <w:szCs w:val="22"/>
                <w:lang w:val="el-GR"/>
              </w:rPr>
              <w:t>7</w:t>
            </w:r>
            <w:r w:rsidRPr="00503836">
              <w:rPr>
                <w:sz w:val="22"/>
                <w:szCs w:val="22"/>
                <w:lang w:val="el-GR"/>
              </w:rPr>
              <w:t xml:space="preserve"> Σεπτεμβρίου </w:t>
            </w:r>
            <w:r w:rsidRPr="0051534C">
              <w:rPr>
                <w:sz w:val="22"/>
                <w:szCs w:val="22"/>
                <w:lang w:val="el-GR"/>
              </w:rPr>
              <w:t>2005,</w:t>
            </w:r>
            <w:r w:rsidRPr="00503836">
              <w:rPr>
                <w:sz w:val="22"/>
                <w:szCs w:val="22"/>
                <w:lang w:val="el-GR"/>
              </w:rPr>
              <w:t xml:space="preserve"> </w:t>
            </w:r>
            <w:r w:rsidRPr="0051534C">
              <w:rPr>
                <w:sz w:val="22"/>
                <w:szCs w:val="22"/>
              </w:rPr>
              <w:t>Athen</w:t>
            </w:r>
            <w:r w:rsidRPr="00503836">
              <w:rPr>
                <w:sz w:val="22"/>
                <w:szCs w:val="22"/>
                <w:lang w:val="el-GR"/>
              </w:rPr>
              <w:t xml:space="preserve"> 2006, </w:t>
            </w:r>
            <w:r>
              <w:rPr>
                <w:sz w:val="22"/>
                <w:szCs w:val="22"/>
              </w:rPr>
              <w:t>Bd</w:t>
            </w:r>
            <w:r w:rsidRPr="00503836">
              <w:rPr>
                <w:sz w:val="22"/>
                <w:szCs w:val="22"/>
                <w:lang w:val="el-GR"/>
              </w:rPr>
              <w:t>. 1, 337–352.</w:t>
            </w:r>
          </w:p>
        </w:tc>
      </w:tr>
      <w:tr w:rsidR="00967150" w:rsidRPr="00A56041" w:rsidTr="00967150">
        <w:tc>
          <w:tcPr>
            <w:tcW w:w="0" w:type="auto"/>
            <w:vMerge w:val="restart"/>
          </w:tcPr>
          <w:p w:rsidR="00967150" w:rsidRDefault="00967150" w:rsidP="00996E1A">
            <w:pPr>
              <w:spacing w:line="160" w:lineRule="atLeast"/>
              <w:jc w:val="both"/>
              <w:rPr>
                <w:iCs/>
                <w:szCs w:val="22"/>
              </w:rPr>
            </w:pPr>
            <w:r>
              <w:rPr>
                <w:iCs/>
                <w:sz w:val="22"/>
                <w:szCs w:val="22"/>
              </w:rPr>
              <w:t>2004</w:t>
            </w:r>
          </w:p>
        </w:tc>
        <w:tc>
          <w:tcPr>
            <w:tcW w:w="8661" w:type="dxa"/>
          </w:tcPr>
          <w:p w:rsidR="00967150" w:rsidRDefault="00967150" w:rsidP="00967150">
            <w:pPr>
              <w:spacing w:before="40" w:after="40" w:line="160" w:lineRule="atLeast"/>
              <w:jc w:val="both"/>
            </w:pPr>
            <w:r>
              <w:rPr>
                <w:sz w:val="22"/>
              </w:rPr>
              <w:t xml:space="preserve">mit B. Prokisch </w:t>
            </w:r>
            <w:r w:rsidRPr="00503836">
              <w:rPr>
                <w:sz w:val="22"/>
              </w:rPr>
              <w:t>–</w:t>
            </w:r>
            <w:r>
              <w:rPr>
                <w:sz w:val="22"/>
              </w:rPr>
              <w:t xml:space="preserve"> H. Emmerig </w:t>
            </w:r>
            <w:r w:rsidRPr="00503836">
              <w:rPr>
                <w:sz w:val="22"/>
              </w:rPr>
              <w:t>–</w:t>
            </w:r>
            <w:r>
              <w:rPr>
                <w:sz w:val="22"/>
              </w:rPr>
              <w:t xml:space="preserve"> S. Heinz </w:t>
            </w:r>
            <w:r w:rsidRPr="00503836">
              <w:rPr>
                <w:sz w:val="22"/>
              </w:rPr>
              <w:t>–</w:t>
            </w:r>
            <w:r>
              <w:rPr>
                <w:sz w:val="22"/>
              </w:rPr>
              <w:t xml:space="preserve"> B. Marksteiner, Repertorium zur Neuzeitlichen Münzprägung Europas, Bd. III. Heiliges Römisches Reich Deutscher Nation und Nachfolgestaaten – Der Fränkische Reichskreis (VIN Band 9), Wien 2004.</w:t>
            </w:r>
          </w:p>
        </w:tc>
      </w:tr>
      <w:tr w:rsidR="00967150" w:rsidRPr="00A56041" w:rsidTr="00967150">
        <w:tc>
          <w:tcPr>
            <w:tcW w:w="0" w:type="auto"/>
            <w:vMerge/>
          </w:tcPr>
          <w:p w:rsidR="00967150" w:rsidRPr="00A56041" w:rsidRDefault="00967150" w:rsidP="00996E1A">
            <w:pPr>
              <w:spacing w:line="160" w:lineRule="atLeast"/>
              <w:jc w:val="both"/>
              <w:rPr>
                <w:iCs/>
                <w:szCs w:val="22"/>
              </w:rPr>
            </w:pPr>
          </w:p>
        </w:tc>
        <w:tc>
          <w:tcPr>
            <w:tcW w:w="8661" w:type="dxa"/>
          </w:tcPr>
          <w:p w:rsidR="00967150" w:rsidRPr="00A56041" w:rsidRDefault="00967150" w:rsidP="00967150">
            <w:pPr>
              <w:spacing w:before="40" w:after="40" w:line="160" w:lineRule="atLeast"/>
              <w:jc w:val="both"/>
              <w:rPr>
                <w:szCs w:val="22"/>
                <w:lang w:val="de-DE"/>
              </w:rPr>
            </w:pPr>
            <w:r>
              <w:rPr>
                <w:sz w:val="22"/>
              </w:rPr>
              <w:t>mit M. Egetmeyer, Ein spätbronzezeitliches Alabastron mit Ritzinschrift aus dem östlichen Mittelmeer mit Graffito, Kadmos 43, 2004, 151–158.</w:t>
            </w:r>
          </w:p>
        </w:tc>
      </w:tr>
      <w:tr w:rsidR="00967150" w:rsidRPr="00A56041" w:rsidTr="00967150">
        <w:tc>
          <w:tcPr>
            <w:tcW w:w="0" w:type="auto"/>
            <w:vMerge/>
          </w:tcPr>
          <w:p w:rsidR="00967150" w:rsidRPr="00A56041" w:rsidRDefault="00967150" w:rsidP="00996E1A">
            <w:pPr>
              <w:spacing w:line="160" w:lineRule="atLeast"/>
              <w:jc w:val="both"/>
              <w:rPr>
                <w:iCs/>
                <w:szCs w:val="22"/>
                <w:lang w:val="de-DE"/>
              </w:rPr>
            </w:pPr>
          </w:p>
        </w:tc>
        <w:tc>
          <w:tcPr>
            <w:tcW w:w="8661" w:type="dxa"/>
          </w:tcPr>
          <w:p w:rsidR="00967150" w:rsidRPr="00A56041" w:rsidRDefault="00967150" w:rsidP="00967150">
            <w:pPr>
              <w:spacing w:before="40" w:after="40" w:line="160" w:lineRule="atLeast"/>
              <w:jc w:val="both"/>
              <w:rPr>
                <w:szCs w:val="22"/>
                <w:lang w:val="de-DE"/>
              </w:rPr>
            </w:pPr>
            <w:r>
              <w:rPr>
                <w:sz w:val="22"/>
              </w:rPr>
              <w:t>mit G. Dembski, Der Münzschatz vom Rennweg 44, in: Ausgewählte Funde vom Rennweg 44 in Wien (Wiener Archäologische Studien 6), Wien 2004, 11–95.</w:t>
            </w:r>
          </w:p>
        </w:tc>
      </w:tr>
      <w:tr w:rsidR="003E5E9B" w:rsidRPr="00A56041" w:rsidTr="00967150">
        <w:tc>
          <w:tcPr>
            <w:tcW w:w="0" w:type="auto"/>
          </w:tcPr>
          <w:p w:rsidR="003E5E9B" w:rsidRPr="00A56041" w:rsidRDefault="003E5E9B" w:rsidP="00996E1A">
            <w:pPr>
              <w:spacing w:line="160" w:lineRule="atLeast"/>
              <w:jc w:val="both"/>
              <w:rPr>
                <w:iCs/>
                <w:szCs w:val="22"/>
                <w:lang w:val="de-DE"/>
              </w:rPr>
            </w:pPr>
            <w:r>
              <w:rPr>
                <w:iCs/>
                <w:sz w:val="22"/>
                <w:szCs w:val="22"/>
                <w:lang w:val="de-DE"/>
              </w:rPr>
              <w:t>2003</w:t>
            </w:r>
          </w:p>
        </w:tc>
        <w:tc>
          <w:tcPr>
            <w:tcW w:w="8661" w:type="dxa"/>
          </w:tcPr>
          <w:p w:rsidR="003E5E9B" w:rsidRPr="00A56041" w:rsidRDefault="003E5E9B" w:rsidP="00967150">
            <w:pPr>
              <w:spacing w:before="40" w:after="40" w:line="160" w:lineRule="atLeast"/>
              <w:jc w:val="both"/>
              <w:rPr>
                <w:szCs w:val="22"/>
                <w:lang w:val="de-DE"/>
              </w:rPr>
            </w:pPr>
            <w:r>
              <w:rPr>
                <w:i/>
                <w:sz w:val="22"/>
              </w:rPr>
              <w:t>Monumentum generaliter res est memoriae causa</w:t>
            </w:r>
            <w:r>
              <w:rPr>
                <w:sz w:val="22"/>
              </w:rPr>
              <w:t xml:space="preserve"> ... Gedanken zu den Begriffen Monument und monumental, in: B. Asamer – W. Wohlmayr (Hrsg.), Akten des 9. Österreichischen Archäologentages am Institut für Klassische Archäologie der Paris Lodron-Universität Salzburg, 6.–8. Dezember 2001, Wien 2003, 253–257.</w:t>
            </w:r>
          </w:p>
        </w:tc>
      </w:tr>
      <w:tr w:rsidR="003E5E9B" w:rsidRPr="00A56041" w:rsidTr="00967150">
        <w:tc>
          <w:tcPr>
            <w:tcW w:w="0" w:type="auto"/>
          </w:tcPr>
          <w:p w:rsidR="003E5E9B" w:rsidRPr="00A56041" w:rsidRDefault="003E5E9B" w:rsidP="00996E1A">
            <w:pPr>
              <w:spacing w:line="160" w:lineRule="atLeast"/>
              <w:jc w:val="both"/>
              <w:rPr>
                <w:iCs/>
                <w:szCs w:val="22"/>
                <w:lang w:val="de-DE"/>
              </w:rPr>
            </w:pPr>
            <w:r>
              <w:rPr>
                <w:iCs/>
                <w:sz w:val="22"/>
                <w:szCs w:val="22"/>
                <w:lang w:val="de-DE"/>
              </w:rPr>
              <w:t>2002</w:t>
            </w:r>
          </w:p>
        </w:tc>
        <w:tc>
          <w:tcPr>
            <w:tcW w:w="8661" w:type="dxa"/>
          </w:tcPr>
          <w:p w:rsidR="003E5E9B" w:rsidRPr="00A56041" w:rsidRDefault="003E5E9B" w:rsidP="00967150">
            <w:pPr>
              <w:spacing w:before="40" w:after="40" w:line="160" w:lineRule="atLeast"/>
              <w:jc w:val="both"/>
              <w:rPr>
                <w:szCs w:val="22"/>
                <w:lang w:val="de-DE"/>
              </w:rPr>
            </w:pPr>
            <w:r>
              <w:rPr>
                <w:sz w:val="22"/>
              </w:rPr>
              <w:t xml:space="preserve">Zyprische Gefäße im Rollettmuseum in Baden. Katalog zyprischer und anderer Gefäße, in: U. Horak † </w:t>
            </w:r>
            <w:r w:rsidRPr="00503836">
              <w:rPr>
                <w:sz w:val="22"/>
              </w:rPr>
              <w:t>–</w:t>
            </w:r>
            <w:r>
              <w:rPr>
                <w:sz w:val="22"/>
              </w:rPr>
              <w:t xml:space="preserve"> Ch. Gastgeber </w:t>
            </w:r>
            <w:r w:rsidRPr="00503836">
              <w:rPr>
                <w:sz w:val="22"/>
              </w:rPr>
              <w:t>–</w:t>
            </w:r>
            <w:r>
              <w:rPr>
                <w:sz w:val="22"/>
              </w:rPr>
              <w:t xml:space="preserve"> H. Harrauer (Hrsg.), „Hauptsache: Eine Mumie im Wohnzimmer“. Ägypten, Zypern, griechisch-römische Antike und die Sammlerleidenschaft im 19. Jahrhundert. Katalog der Antiken des Rollettmuseums in Baden (Nilus. Studien zur Kultur Ägyptens und des Vorderen Orients 5), Wien 2002, 57</w:t>
            </w:r>
            <w:r w:rsidRPr="00503836">
              <w:rPr>
                <w:sz w:val="22"/>
              </w:rPr>
              <w:t>–</w:t>
            </w:r>
            <w:r>
              <w:rPr>
                <w:sz w:val="22"/>
              </w:rPr>
              <w:t>90.</w:t>
            </w:r>
          </w:p>
        </w:tc>
      </w:tr>
      <w:tr w:rsidR="003E5E9B" w:rsidRPr="00A56041" w:rsidTr="00967150">
        <w:tc>
          <w:tcPr>
            <w:tcW w:w="0" w:type="auto"/>
          </w:tcPr>
          <w:p w:rsidR="003E5E9B" w:rsidRPr="00A56041" w:rsidRDefault="003E5E9B" w:rsidP="00996E1A">
            <w:pPr>
              <w:spacing w:line="160" w:lineRule="atLeast"/>
              <w:jc w:val="both"/>
              <w:rPr>
                <w:iCs/>
                <w:szCs w:val="22"/>
                <w:lang w:val="de-DE"/>
              </w:rPr>
            </w:pPr>
            <w:r>
              <w:rPr>
                <w:iCs/>
                <w:sz w:val="22"/>
                <w:szCs w:val="22"/>
                <w:lang w:val="de-DE"/>
              </w:rPr>
              <w:t>2000</w:t>
            </w:r>
          </w:p>
        </w:tc>
        <w:tc>
          <w:tcPr>
            <w:tcW w:w="8661" w:type="dxa"/>
          </w:tcPr>
          <w:p w:rsidR="003E5E9B" w:rsidRPr="00A56041" w:rsidRDefault="003E5E9B" w:rsidP="00967150">
            <w:pPr>
              <w:spacing w:before="40" w:after="40" w:line="160" w:lineRule="atLeast"/>
              <w:jc w:val="both"/>
              <w:rPr>
                <w:szCs w:val="22"/>
                <w:lang w:val="de-DE"/>
              </w:rPr>
            </w:pPr>
            <w:r>
              <w:rPr>
                <w:sz w:val="22"/>
              </w:rPr>
              <w:t>Tholos, Tumulus oder Gräberrund? Überlegungen zu einigen Grabmälern in der Westpeloponnes, in: F. Blakolmer (Hrsg.), Österreichische Forschungen zur Ägäischen Bronzezeit 1998. Akten der Tagung am Institut für Klassische Archäologie der Universität Wien, 2.</w:t>
            </w:r>
            <w:r w:rsidRPr="00503836">
              <w:rPr>
                <w:sz w:val="22"/>
              </w:rPr>
              <w:t>–</w:t>
            </w:r>
            <w:r>
              <w:rPr>
                <w:sz w:val="22"/>
              </w:rPr>
              <w:t>3.5.1998 (Wiener Forschungen zur Archäologie 3), Wien 2000, 119</w:t>
            </w:r>
            <w:r w:rsidRPr="00503836">
              <w:rPr>
                <w:sz w:val="22"/>
              </w:rPr>
              <w:t>–</w:t>
            </w:r>
            <w:r>
              <w:rPr>
                <w:sz w:val="22"/>
              </w:rPr>
              <w:t>126.</w:t>
            </w:r>
          </w:p>
        </w:tc>
      </w:tr>
      <w:tr w:rsidR="00967150" w:rsidRPr="00A56041" w:rsidTr="00967150">
        <w:tc>
          <w:tcPr>
            <w:tcW w:w="0" w:type="auto"/>
            <w:vMerge w:val="restart"/>
          </w:tcPr>
          <w:p w:rsidR="00967150" w:rsidRDefault="00967150" w:rsidP="00996E1A">
            <w:pPr>
              <w:spacing w:line="160" w:lineRule="atLeast"/>
              <w:jc w:val="both"/>
              <w:rPr>
                <w:iCs/>
                <w:szCs w:val="22"/>
                <w:lang w:val="de-DE"/>
              </w:rPr>
            </w:pPr>
            <w:r>
              <w:rPr>
                <w:iCs/>
                <w:sz w:val="22"/>
                <w:szCs w:val="22"/>
                <w:lang w:val="de-DE"/>
              </w:rPr>
              <w:t>1999</w:t>
            </w:r>
          </w:p>
        </w:tc>
        <w:tc>
          <w:tcPr>
            <w:tcW w:w="8661" w:type="dxa"/>
          </w:tcPr>
          <w:p w:rsidR="00967150" w:rsidRDefault="00967150" w:rsidP="00967150">
            <w:pPr>
              <w:spacing w:before="40" w:after="40" w:line="160" w:lineRule="atLeast"/>
              <w:jc w:val="both"/>
            </w:pPr>
            <w:r>
              <w:rPr>
                <w:sz w:val="22"/>
              </w:rPr>
              <w:t xml:space="preserve">mit B. Prokisch </w:t>
            </w:r>
            <w:r w:rsidRPr="00503836">
              <w:rPr>
                <w:sz w:val="22"/>
              </w:rPr>
              <w:t>–</w:t>
            </w:r>
            <w:r>
              <w:rPr>
                <w:sz w:val="22"/>
              </w:rPr>
              <w:t xml:space="preserve"> H. Emmerig </w:t>
            </w:r>
            <w:r w:rsidRPr="00503836">
              <w:rPr>
                <w:sz w:val="22"/>
              </w:rPr>
              <w:t>–</w:t>
            </w:r>
            <w:r>
              <w:rPr>
                <w:sz w:val="22"/>
              </w:rPr>
              <w:t xml:space="preserve"> S. Heinz </w:t>
            </w:r>
            <w:r w:rsidRPr="00503836">
              <w:rPr>
                <w:sz w:val="22"/>
              </w:rPr>
              <w:t>–</w:t>
            </w:r>
            <w:r>
              <w:rPr>
                <w:sz w:val="22"/>
              </w:rPr>
              <w:t xml:space="preserve"> M. Heintz, Repertorium zur Neuzeitlichen Münzprägung Europas, Bd. XVIII. Südosteuropa (VIN Band 5), Wien 1999.</w:t>
            </w:r>
          </w:p>
        </w:tc>
      </w:tr>
      <w:tr w:rsidR="00967150" w:rsidRPr="00A56041" w:rsidTr="00967150">
        <w:tc>
          <w:tcPr>
            <w:tcW w:w="0" w:type="auto"/>
            <w:vMerge/>
          </w:tcPr>
          <w:p w:rsidR="00967150" w:rsidRPr="00A56041" w:rsidRDefault="00967150" w:rsidP="00996E1A">
            <w:pPr>
              <w:spacing w:line="160" w:lineRule="atLeast"/>
              <w:jc w:val="both"/>
              <w:rPr>
                <w:iCs/>
                <w:szCs w:val="22"/>
                <w:lang w:val="de-DE"/>
              </w:rPr>
            </w:pPr>
          </w:p>
        </w:tc>
        <w:tc>
          <w:tcPr>
            <w:tcW w:w="8661" w:type="dxa"/>
          </w:tcPr>
          <w:p w:rsidR="00967150" w:rsidRPr="00A56041" w:rsidRDefault="00967150" w:rsidP="00967150">
            <w:pPr>
              <w:spacing w:before="40" w:after="40" w:line="160" w:lineRule="atLeast"/>
              <w:jc w:val="both"/>
              <w:rPr>
                <w:szCs w:val="22"/>
                <w:lang w:val="de-DE"/>
              </w:rPr>
            </w:pPr>
            <w:r>
              <w:rPr>
                <w:sz w:val="22"/>
              </w:rPr>
              <w:t>Der Tumulus von Kissos: Beobachtungen zu einer bronzezeitlichen Grabanlage der Südwestpeloponnes, ÖJhBeibl 68, 1999, Sp. 117</w:t>
            </w:r>
            <w:r w:rsidRPr="00503836">
              <w:rPr>
                <w:sz w:val="22"/>
              </w:rPr>
              <w:t>–</w:t>
            </w:r>
            <w:r>
              <w:rPr>
                <w:sz w:val="22"/>
              </w:rPr>
              <w:t>138.</w:t>
            </w:r>
          </w:p>
        </w:tc>
      </w:tr>
      <w:tr w:rsidR="003E5E9B" w:rsidRPr="00A56041" w:rsidTr="00967150">
        <w:tc>
          <w:tcPr>
            <w:tcW w:w="0" w:type="auto"/>
          </w:tcPr>
          <w:p w:rsidR="003E5E9B" w:rsidRPr="00A56041" w:rsidRDefault="003E5E9B" w:rsidP="00996E1A">
            <w:pPr>
              <w:spacing w:line="160" w:lineRule="atLeast"/>
              <w:jc w:val="both"/>
              <w:rPr>
                <w:iCs/>
                <w:szCs w:val="22"/>
                <w:lang w:val="de-DE"/>
              </w:rPr>
            </w:pPr>
            <w:r>
              <w:rPr>
                <w:iCs/>
                <w:sz w:val="22"/>
                <w:szCs w:val="22"/>
                <w:lang w:val="de-DE"/>
              </w:rPr>
              <w:t>1996</w:t>
            </w:r>
          </w:p>
        </w:tc>
        <w:tc>
          <w:tcPr>
            <w:tcW w:w="8661" w:type="dxa"/>
          </w:tcPr>
          <w:p w:rsidR="003E5E9B" w:rsidRPr="00A56041" w:rsidRDefault="003E5E9B" w:rsidP="00967150">
            <w:pPr>
              <w:spacing w:before="40" w:after="40" w:line="160" w:lineRule="atLeast"/>
              <w:jc w:val="both"/>
              <w:rPr>
                <w:szCs w:val="22"/>
                <w:lang w:val="de-DE"/>
              </w:rPr>
            </w:pPr>
            <w:r>
              <w:rPr>
                <w:sz w:val="22"/>
              </w:rPr>
              <w:t xml:space="preserve">mit B. Prokisch </w:t>
            </w:r>
            <w:r w:rsidRPr="00503836">
              <w:rPr>
                <w:sz w:val="22"/>
              </w:rPr>
              <w:t>–</w:t>
            </w:r>
            <w:r>
              <w:rPr>
                <w:sz w:val="22"/>
              </w:rPr>
              <w:t xml:space="preserve"> H. Emmerig </w:t>
            </w:r>
            <w:r w:rsidRPr="00503836">
              <w:rPr>
                <w:sz w:val="22"/>
              </w:rPr>
              <w:t>–</w:t>
            </w:r>
            <w:r>
              <w:rPr>
                <w:sz w:val="22"/>
              </w:rPr>
              <w:t xml:space="preserve"> S. Heinz </w:t>
            </w:r>
            <w:r w:rsidRPr="00503836">
              <w:rPr>
                <w:sz w:val="22"/>
              </w:rPr>
              <w:t>–</w:t>
            </w:r>
            <w:r>
              <w:rPr>
                <w:sz w:val="22"/>
              </w:rPr>
              <w:t xml:space="preserve"> M. Heintz </w:t>
            </w:r>
            <w:r w:rsidRPr="00503836">
              <w:rPr>
                <w:sz w:val="22"/>
              </w:rPr>
              <w:t>–</w:t>
            </w:r>
            <w:r>
              <w:rPr>
                <w:sz w:val="22"/>
              </w:rPr>
              <w:t xml:space="preserve"> D. Lepuschitz, Repertorium zur Neuzeitlichen Münzprägung Europas, Bd. II. Heiliges Römisches Reich Deutscher Nation und Nachfolgestaaten – Der Bayerische Reichskreis (VIN Band 4), Wien 1996.</w:t>
            </w:r>
          </w:p>
        </w:tc>
      </w:tr>
    </w:tbl>
    <w:p w:rsidR="00B30B2E" w:rsidRPr="003E5E9B" w:rsidRDefault="00B30B2E">
      <w:pPr>
        <w:rPr>
          <w:lang w:val="de-DE"/>
        </w:rPr>
      </w:pPr>
    </w:p>
    <w:sectPr w:rsidR="00B30B2E" w:rsidRPr="003E5E9B" w:rsidSect="00B30B2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E5E9B"/>
    <w:rsid w:val="003E5E9B"/>
    <w:rsid w:val="007D52DA"/>
    <w:rsid w:val="0080230F"/>
    <w:rsid w:val="008B0C23"/>
    <w:rsid w:val="00967150"/>
    <w:rsid w:val="00B25496"/>
    <w:rsid w:val="00B30B2E"/>
    <w:rsid w:val="00FF5C0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E5E9B"/>
    <w:pPr>
      <w:spacing w:after="0" w:line="240" w:lineRule="auto"/>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2471</Characters>
  <Application>Microsoft Office Word</Application>
  <DocSecurity>0</DocSecurity>
  <Lines>20</Lines>
  <Paragraphs>5</Paragraphs>
  <ScaleCrop>false</ScaleCrop>
  <Company>Österreichische Akademie der Wissenschaften</Company>
  <LinksUpToDate>false</LinksUpToDate>
  <CharactersWithSpaces>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Schwab</dc:creator>
  <cp:lastModifiedBy>A Schwab</cp:lastModifiedBy>
  <cp:revision>2</cp:revision>
  <dcterms:created xsi:type="dcterms:W3CDTF">2013-10-30T12:48:00Z</dcterms:created>
  <dcterms:modified xsi:type="dcterms:W3CDTF">2013-11-14T11:15:00Z</dcterms:modified>
</cp:coreProperties>
</file>