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6"/>
        <w:gridCol w:w="7722"/>
      </w:tblGrid>
      <w:tr w:rsidR="002059CF" w:rsidTr="002059CF">
        <w:trPr>
          <w:trHeight w:val="397"/>
        </w:trPr>
        <w:tc>
          <w:tcPr>
            <w:tcW w:w="0" w:type="auto"/>
            <w:gridSpan w:val="2"/>
            <w:vAlign w:val="center"/>
          </w:tcPr>
          <w:p w:rsidR="002059CF" w:rsidRPr="002059CF" w:rsidRDefault="002059CF" w:rsidP="002059CF">
            <w:pPr>
              <w:pStyle w:val="berschrift2"/>
              <w:jc w:val="center"/>
            </w:pPr>
            <w:r w:rsidRPr="002059CF">
              <w:t>Karin Kopetzky weitere Publikationen</w:t>
            </w:r>
          </w:p>
        </w:tc>
      </w:tr>
      <w:tr w:rsidR="002059CF" w:rsidRPr="00FA4DC3" w:rsidTr="000B3235">
        <w:tc>
          <w:tcPr>
            <w:tcW w:w="1566" w:type="dxa"/>
            <w:vMerge w:val="restart"/>
          </w:tcPr>
          <w:p w:rsidR="002059CF" w:rsidRDefault="002059CF" w:rsidP="00FA4DC3">
            <w:pPr>
              <w:spacing w:line="160" w:lineRule="atLeast"/>
              <w:jc w:val="both"/>
              <w:rPr>
                <w:iCs/>
                <w:szCs w:val="22"/>
                <w:lang w:val="en-US"/>
              </w:rPr>
            </w:pPr>
            <w:r>
              <w:rPr>
                <w:iCs/>
                <w:sz w:val="22"/>
                <w:szCs w:val="22"/>
                <w:lang w:val="en-US"/>
              </w:rPr>
              <w:t>2008</w:t>
            </w:r>
          </w:p>
        </w:tc>
        <w:tc>
          <w:tcPr>
            <w:tcW w:w="7722" w:type="dxa"/>
          </w:tcPr>
          <w:p w:rsidR="002059CF" w:rsidRDefault="002059CF" w:rsidP="00FA4DC3">
            <w:pPr>
              <w:spacing w:line="160" w:lineRule="atLeast"/>
              <w:jc w:val="both"/>
              <w:rPr>
                <w:szCs w:val="22"/>
                <w:lang w:val="en-GB"/>
              </w:rPr>
            </w:pPr>
            <w:r>
              <w:rPr>
                <w:lang w:val="en-GB"/>
              </w:rPr>
              <w:t xml:space="preserve">“The Middle Bronze Age Corpus of the Hyksos Period in Tell el- Dab´a.” In: </w:t>
            </w:r>
            <w:r>
              <w:rPr>
                <w:smallCaps/>
                <w:lang w:val="en-GB"/>
              </w:rPr>
              <w:t>M. Bietak</w:t>
            </w:r>
            <w:r>
              <w:rPr>
                <w:lang w:val="en-GB"/>
              </w:rPr>
              <w:t xml:space="preserve"> (ed.), The Bronze Age in the Lebanon. Studies on the Archaeology and Chronology of Lebanon, Syria and Egypt, Vienna, 196–241.</w:t>
            </w:r>
          </w:p>
        </w:tc>
      </w:tr>
      <w:tr w:rsidR="002059CF" w:rsidRPr="00FA4DC3" w:rsidTr="000B3235">
        <w:tc>
          <w:tcPr>
            <w:tcW w:w="1566" w:type="dxa"/>
            <w:vMerge/>
          </w:tcPr>
          <w:p w:rsidR="002059CF" w:rsidRDefault="002059CF" w:rsidP="00FA4DC3">
            <w:pPr>
              <w:spacing w:line="160" w:lineRule="atLeast"/>
              <w:jc w:val="both"/>
              <w:rPr>
                <w:iCs/>
                <w:szCs w:val="22"/>
                <w:lang w:val="en-US"/>
              </w:rPr>
            </w:pPr>
          </w:p>
        </w:tc>
        <w:tc>
          <w:tcPr>
            <w:tcW w:w="7722" w:type="dxa"/>
          </w:tcPr>
          <w:p w:rsidR="002059CF" w:rsidRDefault="002059CF" w:rsidP="00FA4DC3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“Pottery from Tell Arqa found in Egypt and </w:t>
            </w:r>
            <w:proofErr w:type="gramStart"/>
            <w:r>
              <w:rPr>
                <w:lang w:val="en-GB"/>
              </w:rPr>
              <w:t>its</w:t>
            </w:r>
            <w:proofErr w:type="gramEnd"/>
            <w:r>
              <w:rPr>
                <w:lang w:val="en-GB"/>
              </w:rPr>
              <w:t xml:space="preserve"> Chronological Contexts”, AHL 26/27 (2007/2008), 17</w:t>
            </w:r>
            <w:r>
              <w:rPr>
                <w:rFonts w:ascii="Arial" w:hAnsi="Arial" w:cs="Arial"/>
                <w:lang w:val="en-GB"/>
              </w:rPr>
              <w:t>–</w:t>
            </w:r>
            <w:r>
              <w:rPr>
                <w:lang w:val="en-GB"/>
              </w:rPr>
              <w:t>58.</w:t>
            </w:r>
          </w:p>
        </w:tc>
      </w:tr>
      <w:tr w:rsidR="002059CF" w:rsidRPr="00FA4DC3" w:rsidTr="000B3235">
        <w:tc>
          <w:tcPr>
            <w:tcW w:w="1566" w:type="dxa"/>
            <w:vMerge/>
          </w:tcPr>
          <w:p w:rsidR="002059CF" w:rsidRDefault="002059CF" w:rsidP="00FA4DC3">
            <w:pPr>
              <w:spacing w:line="160" w:lineRule="atLeast"/>
              <w:jc w:val="both"/>
              <w:rPr>
                <w:iCs/>
                <w:szCs w:val="22"/>
                <w:lang w:val="en-US"/>
              </w:rPr>
            </w:pPr>
          </w:p>
        </w:tc>
        <w:tc>
          <w:tcPr>
            <w:tcW w:w="7722" w:type="dxa"/>
          </w:tcPr>
          <w:p w:rsidR="002059CF" w:rsidRDefault="002059CF" w:rsidP="00FA4DC3">
            <w:pPr>
              <w:jc w:val="both"/>
              <w:rPr>
                <w:lang w:val="en-GB"/>
              </w:rPr>
            </w:pPr>
            <w:proofErr w:type="gramStart"/>
            <w:r>
              <w:rPr>
                <w:lang w:val="en-GB"/>
              </w:rPr>
              <w:t>with</w:t>
            </w:r>
            <w:proofErr w:type="gramEnd"/>
            <w:r>
              <w:rPr>
                <w:lang w:val="en-GB"/>
              </w:rPr>
              <w:t xml:space="preserve"> M. Bietak, L.E. Stager and R. Voss, “Synchronization of Stratigraphies: Ashkelon and Tell el-Dab</w:t>
            </w:r>
            <w:r>
              <w:rPr>
                <w:vertAlign w:val="superscript"/>
                <w:lang w:val="en-GB"/>
              </w:rPr>
              <w:t>c</w:t>
            </w:r>
            <w:r>
              <w:rPr>
                <w:lang w:val="en-GB"/>
              </w:rPr>
              <w:t>a,” Ä&amp;L 18, 49–60.</w:t>
            </w:r>
          </w:p>
        </w:tc>
      </w:tr>
      <w:tr w:rsidR="002059CF" w:rsidTr="000B3235">
        <w:tc>
          <w:tcPr>
            <w:tcW w:w="1566" w:type="dxa"/>
            <w:vMerge w:val="restart"/>
          </w:tcPr>
          <w:p w:rsidR="002059CF" w:rsidRDefault="002059CF" w:rsidP="00FA4DC3">
            <w:pPr>
              <w:spacing w:line="160" w:lineRule="atLeast"/>
              <w:jc w:val="both"/>
              <w:rPr>
                <w:iCs/>
                <w:szCs w:val="22"/>
                <w:lang w:val="en-US"/>
              </w:rPr>
            </w:pPr>
            <w:r>
              <w:rPr>
                <w:iCs/>
                <w:sz w:val="22"/>
                <w:szCs w:val="22"/>
                <w:lang w:val="en-US"/>
              </w:rPr>
              <w:t>2006</w:t>
            </w:r>
          </w:p>
        </w:tc>
        <w:tc>
          <w:tcPr>
            <w:tcW w:w="7722" w:type="dxa"/>
          </w:tcPr>
          <w:p w:rsidR="002059CF" w:rsidRDefault="002059CF" w:rsidP="00FA4DC3">
            <w:pPr>
              <w:jc w:val="both"/>
              <w:rPr>
                <w:lang w:val="fr-FR"/>
              </w:rPr>
            </w:pPr>
            <w:r>
              <w:t xml:space="preserve">„Gefäße im Tell el-Yahudija Stil“, in: </w:t>
            </w:r>
            <w:r>
              <w:rPr>
                <w:smallCaps/>
              </w:rPr>
              <w:t>E. Czerny</w:t>
            </w:r>
            <w:r>
              <w:t xml:space="preserve"> et al. </w:t>
            </w:r>
            <w:r>
              <w:rPr>
                <w:lang w:val="en-GB"/>
              </w:rPr>
              <w:t xml:space="preserve">(eds), Timelines. Studies in Honour of Manfred Bietak, Vol. </w:t>
            </w:r>
            <w:r>
              <w:rPr>
                <w:lang w:val="fr-FR"/>
              </w:rPr>
              <w:t xml:space="preserve">II, OLA 149, </w:t>
            </w:r>
            <w:proofErr w:type="spellStart"/>
            <w:r>
              <w:rPr>
                <w:lang w:val="fr-FR"/>
              </w:rPr>
              <w:t>Leuven</w:t>
            </w:r>
            <w:proofErr w:type="spellEnd"/>
            <w:r>
              <w:rPr>
                <w:lang w:val="fr-FR"/>
              </w:rPr>
              <w:t>, 177</w:t>
            </w:r>
            <w:r>
              <w:rPr>
                <w:rFonts w:ascii="Arial" w:hAnsi="Arial" w:cs="Arial"/>
                <w:lang w:val="fr-FR"/>
              </w:rPr>
              <w:t>–</w:t>
            </w:r>
            <w:r>
              <w:rPr>
                <w:lang w:val="fr-FR"/>
              </w:rPr>
              <w:t>186.</w:t>
            </w:r>
          </w:p>
        </w:tc>
      </w:tr>
      <w:tr w:rsidR="002059CF" w:rsidRPr="00FA4DC3" w:rsidTr="000B3235">
        <w:tc>
          <w:tcPr>
            <w:tcW w:w="1566" w:type="dxa"/>
            <w:vMerge/>
          </w:tcPr>
          <w:p w:rsidR="002059CF" w:rsidRDefault="002059CF" w:rsidP="00FA4DC3">
            <w:pPr>
              <w:spacing w:line="160" w:lineRule="atLeast"/>
              <w:jc w:val="both"/>
              <w:rPr>
                <w:iCs/>
                <w:szCs w:val="22"/>
                <w:lang w:val="en-US"/>
              </w:rPr>
            </w:pPr>
          </w:p>
        </w:tc>
        <w:tc>
          <w:tcPr>
            <w:tcW w:w="7722" w:type="dxa"/>
          </w:tcPr>
          <w:p w:rsidR="002059CF" w:rsidRDefault="002059CF" w:rsidP="00FA4DC3">
            <w:pPr>
              <w:jc w:val="both"/>
              <w:rPr>
                <w:lang w:val="en-GB"/>
              </w:rPr>
            </w:pPr>
            <w:proofErr w:type="gramStart"/>
            <w:r>
              <w:rPr>
                <w:lang w:val="en-GB"/>
              </w:rPr>
              <w:t>with</w:t>
            </w:r>
            <w:proofErr w:type="gramEnd"/>
            <w:r>
              <w:rPr>
                <w:lang w:val="en-GB"/>
              </w:rPr>
              <w:t xml:space="preserve"> I. Forstner-Müller and C. Doumet-Serhal, “Egyptian Pottery of the Late 12</w:t>
            </w:r>
            <w:r>
              <w:rPr>
                <w:vertAlign w:val="superscript"/>
                <w:lang w:val="en-GB"/>
              </w:rPr>
              <w:t>th</w:t>
            </w:r>
            <w:r>
              <w:rPr>
                <w:lang w:val="en-GB"/>
              </w:rPr>
              <w:t xml:space="preserve"> and Early 13</w:t>
            </w:r>
            <w:r>
              <w:rPr>
                <w:vertAlign w:val="superscript"/>
                <w:lang w:val="en-GB"/>
              </w:rPr>
              <w:t>th</w:t>
            </w:r>
            <w:r>
              <w:rPr>
                <w:lang w:val="en-GB"/>
              </w:rPr>
              <w:t xml:space="preserve"> Dynasty from Sidon”, AHL 24, 52</w:t>
            </w:r>
            <w:r>
              <w:rPr>
                <w:rFonts w:ascii="Arial" w:hAnsi="Arial" w:cs="Arial"/>
                <w:lang w:val="en-GB"/>
              </w:rPr>
              <w:t>–</w:t>
            </w:r>
            <w:r>
              <w:rPr>
                <w:lang w:val="en-GB"/>
              </w:rPr>
              <w:t>59.</w:t>
            </w:r>
          </w:p>
        </w:tc>
      </w:tr>
      <w:tr w:rsidR="002059CF" w:rsidRPr="00FA4DC3" w:rsidTr="000B3235">
        <w:tc>
          <w:tcPr>
            <w:tcW w:w="1566" w:type="dxa"/>
            <w:vMerge/>
          </w:tcPr>
          <w:p w:rsidR="002059CF" w:rsidRDefault="002059CF" w:rsidP="00FA4DC3">
            <w:pPr>
              <w:spacing w:line="160" w:lineRule="atLeast"/>
              <w:jc w:val="both"/>
              <w:rPr>
                <w:iCs/>
                <w:szCs w:val="22"/>
                <w:lang w:val="en-US"/>
              </w:rPr>
            </w:pPr>
          </w:p>
        </w:tc>
        <w:tc>
          <w:tcPr>
            <w:tcW w:w="7722" w:type="dxa"/>
          </w:tcPr>
          <w:p w:rsidR="002059CF" w:rsidRDefault="002059CF" w:rsidP="00FA4DC3">
            <w:pPr>
              <w:jc w:val="both"/>
              <w:rPr>
                <w:lang w:val="en-GB"/>
              </w:rPr>
            </w:pPr>
            <w:proofErr w:type="gramStart"/>
            <w:r>
              <w:rPr>
                <w:lang w:val="en-GB"/>
              </w:rPr>
              <w:t>with</w:t>
            </w:r>
            <w:proofErr w:type="gramEnd"/>
            <w:r>
              <w:rPr>
                <w:lang w:val="en-GB"/>
              </w:rPr>
              <w:t xml:space="preserve"> I. Forstner-Müller, “An Upper Egyptian Import at Sidon”, AHL 24, 60</w:t>
            </w:r>
            <w:r>
              <w:rPr>
                <w:rFonts w:ascii="Arial" w:hAnsi="Arial" w:cs="Arial"/>
                <w:lang w:val="en-GB"/>
              </w:rPr>
              <w:t>–</w:t>
            </w:r>
            <w:r>
              <w:rPr>
                <w:lang w:val="en-GB"/>
              </w:rPr>
              <w:t>62.</w:t>
            </w:r>
          </w:p>
        </w:tc>
      </w:tr>
      <w:tr w:rsidR="000B3235" w:rsidTr="000B3235">
        <w:tc>
          <w:tcPr>
            <w:tcW w:w="1566" w:type="dxa"/>
          </w:tcPr>
          <w:p w:rsidR="000B3235" w:rsidRDefault="000B3235" w:rsidP="00FA4DC3">
            <w:pPr>
              <w:spacing w:line="160" w:lineRule="atLeast"/>
              <w:jc w:val="both"/>
              <w:rPr>
                <w:iCs/>
                <w:szCs w:val="22"/>
                <w:lang w:val="en-GB"/>
              </w:rPr>
            </w:pPr>
            <w:r>
              <w:rPr>
                <w:iCs/>
                <w:sz w:val="22"/>
                <w:szCs w:val="22"/>
                <w:lang w:val="en-GB"/>
              </w:rPr>
              <w:t>2004</w:t>
            </w:r>
          </w:p>
        </w:tc>
        <w:tc>
          <w:tcPr>
            <w:tcW w:w="7722" w:type="dxa"/>
          </w:tcPr>
          <w:p w:rsidR="000B3235" w:rsidRDefault="000B3235" w:rsidP="00FA4DC3">
            <w:pPr>
              <w:jc w:val="both"/>
            </w:pPr>
            <w:r>
              <w:rPr>
                <w:iCs/>
              </w:rPr>
              <w:t>„Typologische Bemerkungen zur Siedlungskeramik von A/V - p/19.“</w:t>
            </w:r>
            <w:r>
              <w:t xml:space="preserve"> In: </w:t>
            </w:r>
            <w:r>
              <w:rPr>
                <w:smallCaps/>
              </w:rPr>
              <w:t xml:space="preserve">I. Hein </w:t>
            </w:r>
            <w:r>
              <w:t>und</w:t>
            </w:r>
            <w:r>
              <w:rPr>
                <w:smallCaps/>
              </w:rPr>
              <w:t xml:space="preserve"> P. Janosi</w:t>
            </w:r>
            <w:r>
              <w:t>, Tell el-Dab‘a XI. Areal A/, Siedlungsrelikte der späten 2. Zwischenzeit, UZK 21, Wien, 237</w:t>
            </w:r>
            <w:r>
              <w:rPr>
                <w:rFonts w:ascii="Arial" w:hAnsi="Arial" w:cs="Arial"/>
              </w:rPr>
              <w:t>–</w:t>
            </w:r>
            <w:r>
              <w:t>335.</w:t>
            </w:r>
          </w:p>
        </w:tc>
      </w:tr>
      <w:tr w:rsidR="002059CF" w:rsidRPr="00FA4DC3" w:rsidTr="000B3235">
        <w:tc>
          <w:tcPr>
            <w:tcW w:w="1566" w:type="dxa"/>
            <w:vMerge w:val="restart"/>
          </w:tcPr>
          <w:p w:rsidR="002059CF" w:rsidRDefault="002059CF" w:rsidP="00FA4DC3">
            <w:pPr>
              <w:spacing w:line="160" w:lineRule="atLeast"/>
              <w:jc w:val="both"/>
              <w:rPr>
                <w:iCs/>
                <w:szCs w:val="22"/>
                <w:lang w:val="en-GB"/>
              </w:rPr>
            </w:pPr>
            <w:r>
              <w:rPr>
                <w:iCs/>
                <w:sz w:val="22"/>
                <w:szCs w:val="22"/>
                <w:lang w:val="en-GB"/>
              </w:rPr>
              <w:t>2002</w:t>
            </w:r>
          </w:p>
        </w:tc>
        <w:tc>
          <w:tcPr>
            <w:tcW w:w="7722" w:type="dxa"/>
          </w:tcPr>
          <w:p w:rsidR="002059CF" w:rsidRDefault="002059CF" w:rsidP="00FA4DC3">
            <w:pPr>
              <w:jc w:val="both"/>
              <w:rPr>
                <w:iCs/>
                <w:lang w:val="en-GB"/>
              </w:rPr>
            </w:pPr>
            <w:r>
              <w:rPr>
                <w:lang w:val="en-GB"/>
              </w:rPr>
              <w:t xml:space="preserve">“The Dipper Juglets of Tell el-Dab´a. A Typological and Chronological Approach.” In: </w:t>
            </w:r>
            <w:r>
              <w:rPr>
                <w:smallCaps/>
                <w:lang w:val="en-GB"/>
              </w:rPr>
              <w:t>M. Bietak</w:t>
            </w:r>
            <w:r>
              <w:rPr>
                <w:lang w:val="en-GB"/>
              </w:rPr>
              <w:t xml:space="preserve"> (ed.), The Middle Bronze Age in the Levant. Proceedings of an International Conference on MBIIA Ceramic Material in Vienna 24</w:t>
            </w:r>
            <w:r>
              <w:rPr>
                <w:vertAlign w:val="superscript"/>
                <w:lang w:val="en-GB"/>
              </w:rPr>
              <w:t>th</w:t>
            </w:r>
            <w:r>
              <w:rPr>
                <w:rFonts w:ascii="Arial" w:hAnsi="Arial" w:cs="Arial"/>
                <w:lang w:val="en-GB"/>
              </w:rPr>
              <w:t>–</w:t>
            </w:r>
            <w:proofErr w:type="gramStart"/>
            <w:r>
              <w:rPr>
                <w:lang w:val="en-GB"/>
              </w:rPr>
              <w:t>26</w:t>
            </w:r>
            <w:r>
              <w:rPr>
                <w:vertAlign w:val="superscript"/>
                <w:lang w:val="en-GB"/>
              </w:rPr>
              <w:t>th</w:t>
            </w:r>
            <w:r>
              <w:rPr>
                <w:lang w:val="en-GB"/>
              </w:rPr>
              <w:t xml:space="preserve">  of</w:t>
            </w:r>
            <w:proofErr w:type="gramEnd"/>
            <w:r>
              <w:rPr>
                <w:lang w:val="en-GB"/>
              </w:rPr>
              <w:t xml:space="preserve"> January 2001, Wien, 227–244.</w:t>
            </w:r>
          </w:p>
        </w:tc>
      </w:tr>
      <w:tr w:rsidR="002059CF" w:rsidRPr="00FA4DC3" w:rsidTr="000B3235">
        <w:tc>
          <w:tcPr>
            <w:tcW w:w="1566" w:type="dxa"/>
            <w:vMerge/>
          </w:tcPr>
          <w:p w:rsidR="002059CF" w:rsidRDefault="002059CF" w:rsidP="00FA4DC3">
            <w:pPr>
              <w:spacing w:line="160" w:lineRule="atLeast"/>
              <w:jc w:val="both"/>
              <w:rPr>
                <w:iCs/>
                <w:szCs w:val="22"/>
                <w:lang w:val="en-GB"/>
              </w:rPr>
            </w:pPr>
          </w:p>
        </w:tc>
        <w:tc>
          <w:tcPr>
            <w:tcW w:w="7722" w:type="dxa"/>
          </w:tcPr>
          <w:p w:rsidR="002059CF" w:rsidRDefault="002059CF" w:rsidP="00FA4DC3">
            <w:pPr>
              <w:jc w:val="both"/>
              <w:rPr>
                <w:lang w:val="en-GB"/>
              </w:rPr>
            </w:pPr>
            <w:proofErr w:type="gramStart"/>
            <w:r>
              <w:rPr>
                <w:lang w:val="en-GB"/>
              </w:rPr>
              <w:t>with</w:t>
            </w:r>
            <w:proofErr w:type="gramEnd"/>
            <w:r>
              <w:rPr>
                <w:lang w:val="en-GB"/>
              </w:rPr>
              <w:t xml:space="preserve"> M. Bietak, "</w:t>
            </w:r>
            <w:r>
              <w:rPr>
                <w:iCs/>
                <w:lang w:val="en-GB"/>
              </w:rPr>
              <w:t>Quantitative Seriation: Model Study For the Assessment of Stratigraphic Sherd Collections (Relative Chronology II)."</w:t>
            </w:r>
            <w:r>
              <w:rPr>
                <w:lang w:val="en-GB"/>
              </w:rPr>
              <w:t xml:space="preserve"> In: M. Bietak (ed), The </w:t>
            </w:r>
            <w:r>
              <w:rPr>
                <w:i/>
                <w:lang w:val="en-GB"/>
              </w:rPr>
              <w:t xml:space="preserve">Synchronization of Civilisations in the Eastern Mediterranean in the Second Millennium B.C. </w:t>
            </w:r>
            <w:r>
              <w:rPr>
                <w:lang w:val="en-GB"/>
              </w:rPr>
              <w:t>Proceedings of an International Symposium at Schloß Haindorf, 5</w:t>
            </w:r>
            <w:r>
              <w:rPr>
                <w:vertAlign w:val="superscript"/>
                <w:lang w:val="en-GB"/>
              </w:rPr>
              <w:t>th</w:t>
            </w:r>
            <w:r>
              <w:rPr>
                <w:rFonts w:ascii="Arial" w:hAnsi="Arial" w:cs="Arial"/>
                <w:lang w:val="en-GB"/>
              </w:rPr>
              <w:t>–</w:t>
            </w:r>
            <w:r>
              <w:rPr>
                <w:lang w:val="en-GB"/>
              </w:rPr>
              <w:t>17</w:t>
            </w:r>
            <w:r>
              <w:rPr>
                <w:vertAlign w:val="superscript"/>
                <w:lang w:val="en-GB"/>
              </w:rPr>
              <w:t>th</w:t>
            </w:r>
            <w:r>
              <w:rPr>
                <w:lang w:val="en-GB"/>
              </w:rPr>
              <w:t xml:space="preserve"> of November 1996 and at the Austrian Academy, Vienna, 11</w:t>
            </w:r>
            <w:r>
              <w:rPr>
                <w:vertAlign w:val="superscript"/>
                <w:lang w:val="en-GB"/>
              </w:rPr>
              <w:t>th</w:t>
            </w:r>
            <w:r>
              <w:rPr>
                <w:lang w:val="en-GB"/>
              </w:rPr>
              <w:t xml:space="preserve"> –12</w:t>
            </w:r>
            <w:r>
              <w:rPr>
                <w:vertAlign w:val="superscript"/>
                <w:lang w:val="en-GB"/>
              </w:rPr>
              <w:t>th</w:t>
            </w:r>
            <w:r>
              <w:rPr>
                <w:lang w:val="en-GB"/>
              </w:rPr>
              <w:t xml:space="preserve"> of May 1998, Vienna, 22</w:t>
            </w:r>
            <w:r>
              <w:rPr>
                <w:rFonts w:ascii="Arial" w:hAnsi="Arial" w:cs="Arial"/>
                <w:lang w:val="en-GB"/>
              </w:rPr>
              <w:t>–</w:t>
            </w:r>
            <w:r>
              <w:rPr>
                <w:lang w:val="en-GB"/>
              </w:rPr>
              <w:t>26.</w:t>
            </w:r>
          </w:p>
        </w:tc>
      </w:tr>
      <w:tr w:rsidR="002059CF" w:rsidRPr="00FA4DC3" w:rsidTr="000B3235">
        <w:tc>
          <w:tcPr>
            <w:tcW w:w="1566" w:type="dxa"/>
            <w:vMerge/>
          </w:tcPr>
          <w:p w:rsidR="002059CF" w:rsidRDefault="002059CF" w:rsidP="00FA4DC3">
            <w:pPr>
              <w:spacing w:line="160" w:lineRule="atLeast"/>
              <w:jc w:val="both"/>
              <w:rPr>
                <w:iCs/>
                <w:szCs w:val="22"/>
                <w:lang w:val="en-GB"/>
              </w:rPr>
            </w:pPr>
          </w:p>
        </w:tc>
        <w:tc>
          <w:tcPr>
            <w:tcW w:w="7722" w:type="dxa"/>
          </w:tcPr>
          <w:p w:rsidR="002059CF" w:rsidRDefault="002059CF" w:rsidP="00FA4DC3">
            <w:pPr>
              <w:jc w:val="both"/>
              <w:rPr>
                <w:smallCaps/>
                <w:lang w:val="en-GB"/>
              </w:rPr>
            </w:pPr>
            <w:proofErr w:type="spellStart"/>
            <w:proofErr w:type="gramStart"/>
            <w:r>
              <w:rPr>
                <w:lang w:val="it-IT"/>
              </w:rPr>
              <w:t>with</w:t>
            </w:r>
            <w:proofErr w:type="spellEnd"/>
            <w:proofErr w:type="gramEnd"/>
            <w:r>
              <w:rPr>
                <w:lang w:val="it-IT"/>
              </w:rPr>
              <w:t xml:space="preserve"> M. Bietak, “Israel/</w:t>
            </w:r>
            <w:proofErr w:type="spellStart"/>
            <w:r>
              <w:rPr>
                <w:lang w:val="it-IT"/>
              </w:rPr>
              <w:t>Palestine</w:t>
            </w:r>
            <w:proofErr w:type="spellEnd"/>
            <w:r>
              <w:rPr>
                <w:lang w:val="it-IT"/>
              </w:rPr>
              <w:t xml:space="preserve">.” </w:t>
            </w:r>
            <w:r>
              <w:rPr>
                <w:lang w:val="en-GB"/>
              </w:rPr>
              <w:t>In</w:t>
            </w:r>
            <w:r>
              <w:rPr>
                <w:smallCaps/>
                <w:lang w:val="en-GB"/>
              </w:rPr>
              <w:t>: M. Bietak</w:t>
            </w:r>
            <w:r>
              <w:rPr>
                <w:lang w:val="en-GB"/>
              </w:rPr>
              <w:t xml:space="preserve"> (ed), The </w:t>
            </w:r>
            <w:r>
              <w:rPr>
                <w:i/>
                <w:lang w:val="en-GB"/>
              </w:rPr>
              <w:t xml:space="preserve">Synchronization of Civilisations in the Eastern Mediterranean in the Second Millennium B.C. </w:t>
            </w:r>
            <w:r>
              <w:rPr>
                <w:lang w:val="en-GB"/>
              </w:rPr>
              <w:t>Proceedings of an International Symposium at Schloß Haindorf, 5</w:t>
            </w:r>
            <w:r>
              <w:rPr>
                <w:vertAlign w:val="superscript"/>
                <w:lang w:val="en-GB"/>
              </w:rPr>
              <w:t>th</w:t>
            </w:r>
            <w:r>
              <w:rPr>
                <w:lang w:val="en-GB"/>
              </w:rPr>
              <w:t>-17</w:t>
            </w:r>
            <w:r>
              <w:rPr>
                <w:vertAlign w:val="superscript"/>
                <w:lang w:val="en-GB"/>
              </w:rPr>
              <w:t>th</w:t>
            </w:r>
            <w:r>
              <w:rPr>
                <w:lang w:val="en-GB"/>
              </w:rPr>
              <w:t xml:space="preserve"> of November 1996 and at the Austrian Academy, Vienna, 11</w:t>
            </w:r>
            <w:r>
              <w:rPr>
                <w:vertAlign w:val="superscript"/>
                <w:lang w:val="en-GB"/>
              </w:rPr>
              <w:t>th</w:t>
            </w:r>
            <w:r>
              <w:rPr>
                <w:lang w:val="en-GB"/>
              </w:rPr>
              <w:t xml:space="preserve"> –12</w:t>
            </w:r>
            <w:r>
              <w:rPr>
                <w:vertAlign w:val="superscript"/>
                <w:lang w:val="en-GB"/>
              </w:rPr>
              <w:t>th</w:t>
            </w:r>
            <w:r>
              <w:rPr>
                <w:lang w:val="en-GB"/>
              </w:rPr>
              <w:t xml:space="preserve"> of May 1998, Vienna, 96</w:t>
            </w:r>
            <w:r>
              <w:rPr>
                <w:rFonts w:ascii="Arial" w:hAnsi="Arial" w:cs="Arial"/>
                <w:lang w:val="en-GB"/>
              </w:rPr>
              <w:t>–</w:t>
            </w:r>
            <w:r>
              <w:rPr>
                <w:lang w:val="en-GB"/>
              </w:rPr>
              <w:t>129.</w:t>
            </w:r>
          </w:p>
        </w:tc>
      </w:tr>
      <w:tr w:rsidR="000B3235" w:rsidRPr="00CD5635" w:rsidTr="000B3235">
        <w:tc>
          <w:tcPr>
            <w:tcW w:w="1566" w:type="dxa"/>
          </w:tcPr>
          <w:p w:rsidR="000B3235" w:rsidRDefault="000B3235" w:rsidP="00FA4DC3">
            <w:pPr>
              <w:spacing w:line="160" w:lineRule="atLeast"/>
              <w:jc w:val="both"/>
              <w:rPr>
                <w:iCs/>
                <w:szCs w:val="22"/>
                <w:lang w:val="en-GB"/>
              </w:rPr>
            </w:pPr>
            <w:r>
              <w:rPr>
                <w:iCs/>
                <w:sz w:val="22"/>
                <w:szCs w:val="22"/>
                <w:lang w:val="en-GB"/>
              </w:rPr>
              <w:t>1994</w:t>
            </w:r>
          </w:p>
        </w:tc>
        <w:tc>
          <w:tcPr>
            <w:tcW w:w="7722" w:type="dxa"/>
          </w:tcPr>
          <w:p w:rsidR="000B3235" w:rsidRDefault="000B3235" w:rsidP="00FA4DC3">
            <w:pPr>
              <w:jc w:val="both"/>
              <w:rPr>
                <w:lang w:val="it-IT"/>
              </w:rPr>
            </w:pPr>
            <w:r>
              <w:t>catalogue articles in: M. Bietak, I. Hein et al., Pharaonen und Fremde, Vienna.</w:t>
            </w:r>
          </w:p>
        </w:tc>
      </w:tr>
    </w:tbl>
    <w:p w:rsidR="00B30B2E" w:rsidRPr="00FA4DC3" w:rsidRDefault="00B30B2E">
      <w:pPr>
        <w:rPr>
          <w:lang w:val="de-DE"/>
        </w:rPr>
      </w:pPr>
    </w:p>
    <w:sectPr w:rsidR="00B30B2E" w:rsidRPr="00FA4DC3" w:rsidSect="00B30B2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0B3235"/>
    <w:rsid w:val="000B3235"/>
    <w:rsid w:val="00142398"/>
    <w:rsid w:val="002059CF"/>
    <w:rsid w:val="003B1787"/>
    <w:rsid w:val="007D52DA"/>
    <w:rsid w:val="0080230F"/>
    <w:rsid w:val="008B0C23"/>
    <w:rsid w:val="00B30B2E"/>
    <w:rsid w:val="00FA4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B32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0B3235"/>
    <w:pPr>
      <w:keepNext/>
      <w:spacing w:line="160" w:lineRule="exact"/>
      <w:jc w:val="both"/>
      <w:outlineLvl w:val="1"/>
    </w:pPr>
    <w:rPr>
      <w:b/>
      <w:sz w:val="22"/>
      <w:szCs w:val="22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0B3235"/>
    <w:rPr>
      <w:rFonts w:ascii="Times New Roman" w:eastAsia="Times New Roman" w:hAnsi="Times New Roman" w:cs="Times New Roman"/>
      <w:b/>
      <w:lang w:val="de-DE" w:eastAsia="de-DE"/>
    </w:rPr>
  </w:style>
  <w:style w:type="paragraph" w:customStyle="1" w:styleId="flietext">
    <w:name w:val="flietext"/>
    <w:basedOn w:val="Standard"/>
    <w:rsid w:val="000B3235"/>
    <w:pPr>
      <w:spacing w:before="100" w:beforeAutospacing="1" w:after="100" w:afterAutospacing="1"/>
    </w:pPr>
    <w:rPr>
      <w:szCs w:val="24"/>
      <w:lang w:val="de-DE" w:bidi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Österreichische Akademie der Wissenschaften</Company>
  <LinksUpToDate>false</LinksUpToDate>
  <CharactersWithSpaces>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Schwab</dc:creator>
  <cp:lastModifiedBy>A Schwab</cp:lastModifiedBy>
  <cp:revision>2</cp:revision>
  <dcterms:created xsi:type="dcterms:W3CDTF">2013-10-30T11:45:00Z</dcterms:created>
  <dcterms:modified xsi:type="dcterms:W3CDTF">2013-11-14T12:56:00Z</dcterms:modified>
</cp:coreProperties>
</file>